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3ADCB5B" w14:textId="77777777" w:rsidR="00FF69D4" w:rsidRPr="00985941" w:rsidRDefault="00FF69D4" w:rsidP="00C86301">
      <w:pPr>
        <w:suppressAutoHyphens w:val="0"/>
        <w:autoSpaceDE w:val="0"/>
        <w:autoSpaceDN w:val="0"/>
        <w:adjustRightInd w:val="0"/>
        <w:spacing w:after="0" w:line="320" w:lineRule="atLeast"/>
        <w:rPr>
          <w:rFonts w:ascii="Century Gothic" w:hAnsi="Century Gothic" w:cs="Tahoma"/>
          <w:b/>
          <w:color w:val="002060"/>
          <w:sz w:val="28"/>
          <w:szCs w:val="24"/>
        </w:rPr>
      </w:pPr>
    </w:p>
    <w:p w14:paraId="2D5F37DA" w14:textId="2C287DAE" w:rsidR="00E3636B" w:rsidRDefault="0068103E" w:rsidP="00C86301">
      <w:pPr>
        <w:suppressAutoHyphens w:val="0"/>
        <w:autoSpaceDE w:val="0"/>
        <w:autoSpaceDN w:val="0"/>
        <w:adjustRightInd w:val="0"/>
        <w:spacing w:after="0" w:line="320" w:lineRule="atLeast"/>
        <w:jc w:val="both"/>
        <w:rPr>
          <w:rFonts w:ascii="Century Gothic" w:hAnsi="Century Gothic" w:cs="Tahoma"/>
          <w:b/>
          <w:color w:val="002060"/>
          <w:sz w:val="24"/>
          <w:szCs w:val="24"/>
        </w:rPr>
      </w:pPr>
      <w:r>
        <w:rPr>
          <w:rFonts w:ascii="Century Gothic" w:hAnsi="Century Gothic" w:cs="Tahoma"/>
          <w:b/>
          <w:color w:val="002060"/>
          <w:sz w:val="24"/>
          <w:szCs w:val="24"/>
        </w:rPr>
        <w:t>LEXXUS</w:t>
      </w:r>
      <w:r w:rsidR="00C86301">
        <w:rPr>
          <w:rFonts w:ascii="Century Gothic" w:hAnsi="Century Gothic" w:cs="Tahoma"/>
          <w:b/>
          <w:color w:val="002060"/>
          <w:sz w:val="24"/>
          <w:szCs w:val="24"/>
        </w:rPr>
        <w:t xml:space="preserve">: Koupě investičního bytu se stále vyplatí, </w:t>
      </w:r>
      <w:r w:rsidR="00E634D7">
        <w:rPr>
          <w:rFonts w:ascii="Century Gothic" w:hAnsi="Century Gothic" w:cs="Tahoma"/>
          <w:b/>
          <w:color w:val="002060"/>
          <w:sz w:val="24"/>
          <w:szCs w:val="24"/>
        </w:rPr>
        <w:t xml:space="preserve">komplikuje </w:t>
      </w:r>
      <w:r w:rsidR="00634BF8">
        <w:rPr>
          <w:rFonts w:ascii="Century Gothic" w:hAnsi="Century Gothic" w:cs="Tahoma"/>
          <w:b/>
          <w:color w:val="002060"/>
          <w:sz w:val="24"/>
          <w:szCs w:val="24"/>
        </w:rPr>
        <w:t>ji</w:t>
      </w:r>
      <w:r w:rsidR="00660246">
        <w:rPr>
          <w:rFonts w:ascii="Century Gothic" w:hAnsi="Century Gothic" w:cs="Tahoma"/>
          <w:b/>
          <w:color w:val="002060"/>
          <w:sz w:val="24"/>
          <w:szCs w:val="24"/>
        </w:rPr>
        <w:t xml:space="preserve"> však </w:t>
      </w:r>
      <w:r w:rsidR="00C86301">
        <w:rPr>
          <w:rFonts w:ascii="Century Gothic" w:hAnsi="Century Gothic" w:cs="Tahoma"/>
          <w:b/>
          <w:color w:val="002060"/>
          <w:sz w:val="24"/>
          <w:szCs w:val="24"/>
        </w:rPr>
        <w:t xml:space="preserve">zmenšující se nabídka </w:t>
      </w:r>
      <w:r w:rsidR="00EA62FB">
        <w:rPr>
          <w:rFonts w:ascii="Century Gothic" w:hAnsi="Century Gothic" w:cs="Tahoma"/>
          <w:b/>
          <w:color w:val="002060"/>
          <w:sz w:val="24"/>
          <w:szCs w:val="24"/>
        </w:rPr>
        <w:t>a změny hypotečního financování</w:t>
      </w:r>
    </w:p>
    <w:p w14:paraId="38EE7F36" w14:textId="77777777" w:rsidR="008709E3" w:rsidRPr="00985941" w:rsidRDefault="008709E3" w:rsidP="00C86301">
      <w:pPr>
        <w:spacing w:after="0" w:line="320" w:lineRule="atLeast"/>
        <w:jc w:val="both"/>
        <w:rPr>
          <w:rFonts w:ascii="Century Gothic" w:hAnsi="Century Gothic"/>
          <w:sz w:val="28"/>
        </w:rPr>
      </w:pPr>
    </w:p>
    <w:p w14:paraId="30930C5D" w14:textId="0534E1B6" w:rsidR="00823E04" w:rsidRDefault="0032076D" w:rsidP="00C86301">
      <w:pPr>
        <w:spacing w:after="0" w:line="320" w:lineRule="atLeast"/>
        <w:jc w:val="both"/>
        <w:rPr>
          <w:rFonts w:ascii="Century Gothic" w:hAnsi="Century Gothic"/>
        </w:rPr>
      </w:pPr>
      <w:r w:rsidRPr="00833FC0">
        <w:rPr>
          <w:rFonts w:ascii="Century Gothic" w:hAnsi="Century Gothic"/>
        </w:rPr>
        <w:t>Praha</w:t>
      </w:r>
      <w:r w:rsidR="000142E3" w:rsidRPr="00833FC0">
        <w:rPr>
          <w:rFonts w:ascii="Century Gothic" w:hAnsi="Century Gothic"/>
        </w:rPr>
        <w:t xml:space="preserve">, </w:t>
      </w:r>
      <w:r w:rsidR="00120D50">
        <w:rPr>
          <w:rFonts w:ascii="Century Gothic" w:hAnsi="Century Gothic"/>
        </w:rPr>
        <w:t>11</w:t>
      </w:r>
      <w:r w:rsidR="00C16A6B">
        <w:rPr>
          <w:rFonts w:ascii="Century Gothic" w:hAnsi="Century Gothic"/>
        </w:rPr>
        <w:t>. srpna</w:t>
      </w:r>
      <w:r w:rsidR="00C3328C" w:rsidRPr="00833FC0">
        <w:rPr>
          <w:rFonts w:ascii="Century Gothic" w:hAnsi="Century Gothic"/>
        </w:rPr>
        <w:t xml:space="preserve"> </w:t>
      </w:r>
      <w:r w:rsidR="00D542AB">
        <w:rPr>
          <w:rFonts w:ascii="Century Gothic" w:hAnsi="Century Gothic"/>
        </w:rPr>
        <w:t>2016</w:t>
      </w:r>
    </w:p>
    <w:p w14:paraId="1600518C" w14:textId="77777777" w:rsidR="00AF4075" w:rsidRDefault="00AF4075" w:rsidP="00C86301">
      <w:pPr>
        <w:spacing w:after="0" w:line="320" w:lineRule="atLeast"/>
        <w:jc w:val="both"/>
        <w:rPr>
          <w:rFonts w:ascii="Century Gothic" w:hAnsi="Century Gothic"/>
          <w:b/>
        </w:rPr>
      </w:pPr>
    </w:p>
    <w:p w14:paraId="1BB0AFDD" w14:textId="77777777" w:rsidR="00DA3731" w:rsidRDefault="00DA3731" w:rsidP="00C86301">
      <w:pPr>
        <w:spacing w:after="0" w:line="320" w:lineRule="atLeast"/>
        <w:jc w:val="both"/>
        <w:rPr>
          <w:rFonts w:ascii="Century Gothic" w:hAnsi="Century Gothic"/>
          <w:b/>
        </w:rPr>
      </w:pPr>
    </w:p>
    <w:p w14:paraId="03A0FDF6" w14:textId="0D861B2C" w:rsidR="00DA7A8F" w:rsidRDefault="00953283" w:rsidP="00C86301">
      <w:pPr>
        <w:spacing w:after="0" w:line="320" w:lineRule="atLeast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Investiční nákupy nemovitostí</w:t>
      </w:r>
      <w:r w:rsidR="00170A7F">
        <w:rPr>
          <w:rFonts w:ascii="Century Gothic" w:hAnsi="Century Gothic"/>
          <w:b/>
        </w:rPr>
        <w:t xml:space="preserve"> se </w:t>
      </w:r>
      <w:r w:rsidR="00BC1BD4">
        <w:rPr>
          <w:rFonts w:ascii="Century Gothic" w:hAnsi="Century Gothic"/>
          <w:b/>
        </w:rPr>
        <w:t xml:space="preserve">mezi obyvateli České republiky </w:t>
      </w:r>
      <w:r w:rsidR="00170A7F">
        <w:rPr>
          <w:rFonts w:ascii="Century Gothic" w:hAnsi="Century Gothic"/>
          <w:b/>
        </w:rPr>
        <w:t>stále těší velké oblibě.</w:t>
      </w:r>
      <w:r>
        <w:rPr>
          <w:rFonts w:ascii="Century Gothic" w:hAnsi="Century Gothic"/>
          <w:b/>
        </w:rPr>
        <w:t xml:space="preserve"> </w:t>
      </w:r>
      <w:r w:rsidR="00170A7F">
        <w:rPr>
          <w:rFonts w:ascii="Century Gothic" w:hAnsi="Century Gothic"/>
          <w:b/>
        </w:rPr>
        <w:t>Lidé jsou motivováni růstem ekonomiky</w:t>
      </w:r>
      <w:r w:rsidR="009F7561">
        <w:rPr>
          <w:rFonts w:ascii="Century Gothic" w:hAnsi="Century Gothic"/>
          <w:b/>
        </w:rPr>
        <w:t>, rekordně nízkými úroky hypotečních úvěrů</w:t>
      </w:r>
      <w:r w:rsidR="00211242">
        <w:rPr>
          <w:rFonts w:ascii="Century Gothic" w:hAnsi="Century Gothic"/>
          <w:b/>
        </w:rPr>
        <w:t xml:space="preserve"> i </w:t>
      </w:r>
      <w:r w:rsidR="00170A7F">
        <w:rPr>
          <w:rFonts w:ascii="Century Gothic" w:hAnsi="Century Gothic"/>
          <w:b/>
        </w:rPr>
        <w:t>z</w:t>
      </w:r>
      <w:r w:rsidR="007C2BD5">
        <w:rPr>
          <w:rFonts w:ascii="Century Gothic" w:hAnsi="Century Gothic"/>
          <w:b/>
        </w:rPr>
        <w:t>vyšováním</w:t>
      </w:r>
      <w:r w:rsidR="000D2868">
        <w:rPr>
          <w:rFonts w:ascii="Century Gothic" w:hAnsi="Century Gothic"/>
          <w:b/>
        </w:rPr>
        <w:t xml:space="preserve"> cen</w:t>
      </w:r>
      <w:r w:rsidR="00BC1BD4">
        <w:rPr>
          <w:rFonts w:ascii="Century Gothic" w:hAnsi="Century Gothic"/>
          <w:b/>
        </w:rPr>
        <w:t xml:space="preserve"> bytů</w:t>
      </w:r>
      <w:r w:rsidR="000D2868">
        <w:rPr>
          <w:rFonts w:ascii="Century Gothic" w:hAnsi="Century Gothic"/>
          <w:b/>
        </w:rPr>
        <w:t>, jejichž</w:t>
      </w:r>
      <w:r w:rsidR="00211242">
        <w:rPr>
          <w:rFonts w:ascii="Century Gothic" w:hAnsi="Century Gothic"/>
          <w:b/>
        </w:rPr>
        <w:t xml:space="preserve"> stagnace je</w:t>
      </w:r>
      <w:r w:rsidR="00E634D7">
        <w:rPr>
          <w:rFonts w:ascii="Century Gothic" w:hAnsi="Century Gothic"/>
          <w:b/>
        </w:rPr>
        <w:t xml:space="preserve"> vzhledem k omezené nabídce</w:t>
      </w:r>
      <w:r w:rsidR="00211242">
        <w:rPr>
          <w:rFonts w:ascii="Century Gothic" w:hAnsi="Century Gothic"/>
          <w:b/>
        </w:rPr>
        <w:t xml:space="preserve"> zatím v nedohlednu. </w:t>
      </w:r>
      <w:r w:rsidR="00DA7A8F">
        <w:rPr>
          <w:rFonts w:ascii="Century Gothic" w:hAnsi="Century Gothic"/>
          <w:b/>
        </w:rPr>
        <w:t>Podle aktuální prognózy realitní kancelář</w:t>
      </w:r>
      <w:r w:rsidR="000D2868">
        <w:rPr>
          <w:rFonts w:ascii="Century Gothic" w:hAnsi="Century Gothic"/>
          <w:b/>
        </w:rPr>
        <w:t>e</w:t>
      </w:r>
      <w:r w:rsidR="00DA7A8F">
        <w:rPr>
          <w:rFonts w:ascii="Century Gothic" w:hAnsi="Century Gothic"/>
          <w:b/>
        </w:rPr>
        <w:t xml:space="preserve"> LEXXUS </w:t>
      </w:r>
      <w:r w:rsidR="00170A7F">
        <w:rPr>
          <w:rFonts w:ascii="Century Gothic" w:hAnsi="Century Gothic"/>
          <w:b/>
        </w:rPr>
        <w:t>se dá očekávat, že tento</w:t>
      </w:r>
      <w:r w:rsidR="00DA7A8F">
        <w:rPr>
          <w:rFonts w:ascii="Century Gothic" w:hAnsi="Century Gothic"/>
          <w:b/>
        </w:rPr>
        <w:t xml:space="preserve"> </w:t>
      </w:r>
      <w:r w:rsidR="00170A7F">
        <w:rPr>
          <w:rFonts w:ascii="Century Gothic" w:hAnsi="Century Gothic"/>
          <w:b/>
        </w:rPr>
        <w:t>trend</w:t>
      </w:r>
      <w:r w:rsidR="00DA7A8F">
        <w:rPr>
          <w:rFonts w:ascii="Century Gothic" w:hAnsi="Century Gothic"/>
          <w:b/>
        </w:rPr>
        <w:t xml:space="preserve"> </w:t>
      </w:r>
      <w:r w:rsidR="00170A7F">
        <w:rPr>
          <w:rFonts w:ascii="Century Gothic" w:hAnsi="Century Gothic"/>
          <w:b/>
        </w:rPr>
        <w:t xml:space="preserve">bude mít setrvalý </w:t>
      </w:r>
      <w:r w:rsidR="000D2868">
        <w:rPr>
          <w:rFonts w:ascii="Century Gothic" w:hAnsi="Century Gothic"/>
          <w:b/>
        </w:rPr>
        <w:t>charakter</w:t>
      </w:r>
      <w:r w:rsidR="00170A7F">
        <w:rPr>
          <w:rFonts w:ascii="Century Gothic" w:hAnsi="Century Gothic"/>
          <w:b/>
        </w:rPr>
        <w:t xml:space="preserve"> nejméně </w:t>
      </w:r>
      <w:r w:rsidR="00DA7A8F">
        <w:rPr>
          <w:rFonts w:ascii="Century Gothic" w:hAnsi="Century Gothic"/>
          <w:b/>
        </w:rPr>
        <w:t xml:space="preserve">po celý rok 2016. </w:t>
      </w:r>
      <w:r w:rsidR="00211242">
        <w:rPr>
          <w:rFonts w:ascii="Century Gothic" w:hAnsi="Century Gothic"/>
          <w:b/>
        </w:rPr>
        <w:t xml:space="preserve">Na vysokou poptávku </w:t>
      </w:r>
      <w:r w:rsidR="00E634D7">
        <w:rPr>
          <w:rFonts w:ascii="Century Gothic" w:hAnsi="Century Gothic"/>
          <w:b/>
        </w:rPr>
        <w:t xml:space="preserve">reagují </w:t>
      </w:r>
      <w:r w:rsidR="008640F2">
        <w:rPr>
          <w:rFonts w:ascii="Century Gothic" w:hAnsi="Century Gothic"/>
          <w:b/>
        </w:rPr>
        <w:t>také developeři, kteří se ve svých projektech více orientují na malometrážní byty</w:t>
      </w:r>
      <w:r w:rsidR="00A31B81">
        <w:rPr>
          <w:rFonts w:ascii="Century Gothic" w:hAnsi="Century Gothic"/>
          <w:b/>
        </w:rPr>
        <w:t>.</w:t>
      </w:r>
      <w:r w:rsidR="00950CB8">
        <w:rPr>
          <w:rFonts w:ascii="Century Gothic" w:hAnsi="Century Gothic"/>
          <w:b/>
        </w:rPr>
        <w:t xml:space="preserve"> </w:t>
      </w:r>
    </w:p>
    <w:p w14:paraId="6784BE3D" w14:textId="77777777" w:rsidR="00E40A59" w:rsidRDefault="00E40A59" w:rsidP="00C86301">
      <w:pPr>
        <w:spacing w:after="0" w:line="320" w:lineRule="atLeast"/>
        <w:jc w:val="both"/>
        <w:rPr>
          <w:rFonts w:ascii="Century Gothic" w:hAnsi="Century Gothic"/>
          <w:b/>
        </w:rPr>
      </w:pPr>
    </w:p>
    <w:p w14:paraId="7E26D6D1" w14:textId="45ED83AF" w:rsidR="00C7104A" w:rsidRDefault="001B07F6" w:rsidP="00C86301">
      <w:pPr>
        <w:spacing w:after="0" w:line="320" w:lineRule="atLeast"/>
        <w:jc w:val="both"/>
        <w:rPr>
          <w:rFonts w:ascii="Century Gothic" w:hAnsi="Century Gothic"/>
          <w:b/>
        </w:rPr>
      </w:pPr>
      <w:r>
        <w:rPr>
          <w:rFonts w:ascii="Century Gothic" w:hAnsi="Century Gothic" w:cs="Helvetica"/>
          <w:bCs/>
          <w:color w:val="000000"/>
        </w:rPr>
        <w:t>„</w:t>
      </w:r>
      <w:r w:rsidR="00A232C7">
        <w:rPr>
          <w:rFonts w:ascii="Century Gothic" w:hAnsi="Century Gothic" w:cs="Arial"/>
        </w:rPr>
        <w:t>Poptávka</w:t>
      </w:r>
      <w:r w:rsidR="00CF704A">
        <w:rPr>
          <w:rFonts w:ascii="Century Gothic" w:hAnsi="Century Gothic"/>
        </w:rPr>
        <w:t xml:space="preserve"> ze strany investorů</w:t>
      </w:r>
      <w:r w:rsidR="00A232C7">
        <w:rPr>
          <w:rFonts w:ascii="Century Gothic" w:hAnsi="Century Gothic"/>
        </w:rPr>
        <w:t xml:space="preserve"> je velmi vysoká. Současný stav je ovlivněný</w:t>
      </w:r>
      <w:r w:rsidR="00CF704A">
        <w:rPr>
          <w:rFonts w:ascii="Century Gothic" w:hAnsi="Century Gothic"/>
        </w:rPr>
        <w:t xml:space="preserve"> </w:t>
      </w:r>
      <w:r w:rsidR="00A232C7">
        <w:rPr>
          <w:rFonts w:ascii="Century Gothic" w:hAnsi="Century Gothic"/>
        </w:rPr>
        <w:t>pozitivním vývojem</w:t>
      </w:r>
      <w:r w:rsidR="00CF704A">
        <w:rPr>
          <w:rFonts w:ascii="Century Gothic" w:hAnsi="Century Gothic"/>
        </w:rPr>
        <w:t xml:space="preserve"> ekonomi</w:t>
      </w:r>
      <w:bookmarkStart w:id="0" w:name="_GoBack"/>
      <w:bookmarkEnd w:id="0"/>
      <w:r w:rsidR="00CF704A">
        <w:rPr>
          <w:rFonts w:ascii="Century Gothic" w:hAnsi="Century Gothic"/>
        </w:rPr>
        <w:t>ky, nízkými hypotékami s úroky pod 2 %, nulovými výnosy z běžného</w:t>
      </w:r>
      <w:r w:rsidR="00EE63EE">
        <w:rPr>
          <w:rFonts w:ascii="Century Gothic" w:hAnsi="Century Gothic"/>
        </w:rPr>
        <w:t xml:space="preserve"> spoření a</w:t>
      </w:r>
      <w:r w:rsidR="002260CB">
        <w:rPr>
          <w:rFonts w:ascii="Century Gothic" w:hAnsi="Century Gothic"/>
        </w:rPr>
        <w:t> </w:t>
      </w:r>
      <w:r w:rsidR="00CF704A">
        <w:rPr>
          <w:rFonts w:ascii="Century Gothic" w:hAnsi="Century Gothic"/>
        </w:rPr>
        <w:t>nejistým stavem finančních trhů. Lidé proto hledají jiné způsoby zhodnocení úspor a </w:t>
      </w:r>
      <w:r w:rsidR="00BC1BD4">
        <w:rPr>
          <w:rFonts w:ascii="Century Gothic" w:hAnsi="Century Gothic"/>
        </w:rPr>
        <w:t>obracejí</w:t>
      </w:r>
      <w:r w:rsidR="00A232C7">
        <w:rPr>
          <w:rFonts w:ascii="Century Gothic" w:hAnsi="Century Gothic"/>
        </w:rPr>
        <w:t xml:space="preserve"> svou pozornost </w:t>
      </w:r>
      <w:r w:rsidR="00CF704A">
        <w:rPr>
          <w:rFonts w:ascii="Century Gothic" w:hAnsi="Century Gothic"/>
        </w:rPr>
        <w:t>na nákup malometrážních bytů v </w:t>
      </w:r>
      <w:r w:rsidR="002260CB">
        <w:rPr>
          <w:rFonts w:ascii="Century Gothic" w:hAnsi="Century Gothic"/>
        </w:rPr>
        <w:t>dispozicích 1+kk až </w:t>
      </w:r>
      <w:r w:rsidR="00CF704A">
        <w:rPr>
          <w:rFonts w:ascii="Century Gothic" w:hAnsi="Century Gothic"/>
        </w:rPr>
        <w:t>2+kk. Ty jsou cenově dostupné a dají se velmi dobře pronajmout</w:t>
      </w:r>
      <w:r w:rsidR="00575DCA">
        <w:rPr>
          <w:rFonts w:ascii="Century Gothic" w:hAnsi="Century Gothic"/>
        </w:rPr>
        <w:t>. Následný výnos může činit 3 -</w:t>
      </w:r>
      <w:r w:rsidR="00CF704A">
        <w:rPr>
          <w:rFonts w:ascii="Century Gothic" w:hAnsi="Century Gothic"/>
        </w:rPr>
        <w:t xml:space="preserve"> 5 %</w:t>
      </w:r>
      <w:r w:rsidR="00E40A59">
        <w:rPr>
          <w:rFonts w:ascii="Century Gothic" w:hAnsi="Century Gothic"/>
        </w:rPr>
        <w:t xml:space="preserve">. </w:t>
      </w:r>
      <w:r w:rsidR="00E40A59">
        <w:rPr>
          <w:rFonts w:ascii="Century Gothic" w:hAnsi="Century Gothic" w:cs="Helvetica"/>
          <w:bCs/>
          <w:color w:val="000000"/>
        </w:rPr>
        <w:t>Velký zájem o investiční byty ilustruje například projekt Tulipa City v Praze 9, v němž se podařilo prodat 80 bytových jednotek za 8 dní</w:t>
      </w:r>
      <w:r>
        <w:rPr>
          <w:rFonts w:ascii="Century Gothic" w:hAnsi="Century Gothic" w:cs="Helvetica"/>
          <w:bCs/>
          <w:color w:val="000000"/>
        </w:rPr>
        <w:t xml:space="preserve">,“ </w:t>
      </w:r>
      <w:r w:rsidR="00E40A59">
        <w:rPr>
          <w:rFonts w:ascii="Century Gothic" w:hAnsi="Century Gothic" w:cs="Helvetica"/>
          <w:bCs/>
          <w:color w:val="000000"/>
        </w:rPr>
        <w:t xml:space="preserve">konstatuje </w:t>
      </w:r>
      <w:r>
        <w:rPr>
          <w:rFonts w:ascii="Century Gothic" w:hAnsi="Century Gothic" w:cs="Helvetica"/>
          <w:b/>
          <w:bCs/>
          <w:color w:val="000000"/>
        </w:rPr>
        <w:t>Denisa Višňovská</w:t>
      </w:r>
      <w:r>
        <w:rPr>
          <w:rFonts w:ascii="Century Gothic" w:hAnsi="Century Gothic" w:cs="Helvetica"/>
          <w:bCs/>
          <w:color w:val="000000"/>
        </w:rPr>
        <w:t>, partner realitní kanceláře LEXXUS</w:t>
      </w:r>
      <w:r w:rsidR="00EE389B">
        <w:rPr>
          <w:rFonts w:ascii="Century Gothic" w:hAnsi="Century Gothic" w:cs="Helvetica"/>
          <w:bCs/>
          <w:color w:val="000000"/>
        </w:rPr>
        <w:t>.</w:t>
      </w:r>
      <w:r w:rsidR="003A350A">
        <w:rPr>
          <w:rFonts w:ascii="Century Gothic" w:hAnsi="Century Gothic" w:cs="Helvetica"/>
          <w:bCs/>
          <w:color w:val="000000"/>
        </w:rPr>
        <w:t xml:space="preserve"> </w:t>
      </w:r>
      <w:r w:rsidR="003A350A">
        <w:rPr>
          <w:rFonts w:ascii="Century Gothic" w:hAnsi="Century Gothic"/>
        </w:rPr>
        <w:t xml:space="preserve">Růst poptávky by </w:t>
      </w:r>
      <w:r w:rsidR="00323642">
        <w:rPr>
          <w:rFonts w:ascii="Century Gothic" w:hAnsi="Century Gothic"/>
        </w:rPr>
        <w:t xml:space="preserve">však </w:t>
      </w:r>
      <w:r w:rsidR="003A350A">
        <w:rPr>
          <w:rFonts w:ascii="Century Gothic" w:hAnsi="Century Gothic"/>
        </w:rPr>
        <w:t>mohla zpomalit nepřehledná situace na rezidenčním trhu, změny ve způsobu hypotečního financování, které s</w:t>
      </w:r>
      <w:r w:rsidR="0066666C">
        <w:rPr>
          <w:rFonts w:ascii="Century Gothic" w:hAnsi="Century Gothic"/>
        </w:rPr>
        <w:t>e chystají v průběhu let 2016 a </w:t>
      </w:r>
      <w:r w:rsidR="003A350A" w:rsidRPr="002C5680">
        <w:rPr>
          <w:rFonts w:ascii="Century Gothic" w:hAnsi="Century Gothic"/>
        </w:rPr>
        <w:t>2017</w:t>
      </w:r>
      <w:r w:rsidR="00762A69">
        <w:rPr>
          <w:rFonts w:ascii="Century Gothic" w:hAnsi="Century Gothic"/>
        </w:rPr>
        <w:t>, a </w:t>
      </w:r>
      <w:r w:rsidR="00950CB8">
        <w:rPr>
          <w:rFonts w:ascii="Century Gothic" w:hAnsi="Century Gothic"/>
        </w:rPr>
        <w:t>snižující se nabídka atraktivních nemovitostí.</w:t>
      </w:r>
      <w:r w:rsidR="003A350A" w:rsidRPr="002C5680">
        <w:rPr>
          <w:rFonts w:ascii="Century Gothic" w:hAnsi="Century Gothic"/>
        </w:rPr>
        <w:t xml:space="preserve"> </w:t>
      </w:r>
      <w:r w:rsidR="009A6DF9">
        <w:rPr>
          <w:rFonts w:ascii="Century Gothic" w:hAnsi="Century Gothic" w:cs="Arial"/>
        </w:rPr>
        <w:t xml:space="preserve">Developeři </w:t>
      </w:r>
      <w:r w:rsidR="00950CB8">
        <w:rPr>
          <w:rFonts w:ascii="Century Gothic" w:hAnsi="Century Gothic" w:cs="Arial"/>
        </w:rPr>
        <w:t>j</w:t>
      </w:r>
      <w:r w:rsidR="009A6DF9">
        <w:rPr>
          <w:rFonts w:ascii="Century Gothic" w:hAnsi="Century Gothic" w:cs="Arial"/>
        </w:rPr>
        <w:t>sou</w:t>
      </w:r>
      <w:r w:rsidR="00950CB8">
        <w:rPr>
          <w:rFonts w:ascii="Century Gothic" w:hAnsi="Century Gothic" w:cs="Arial"/>
        </w:rPr>
        <w:t xml:space="preserve"> totiž</w:t>
      </w:r>
      <w:r w:rsidR="009A6DF9">
        <w:rPr>
          <w:rFonts w:ascii="Century Gothic" w:hAnsi="Century Gothic" w:cs="Arial"/>
        </w:rPr>
        <w:t xml:space="preserve"> dlouhodobě svázáni velmi pomalým a</w:t>
      </w:r>
      <w:r w:rsidR="00120D50">
        <w:rPr>
          <w:rFonts w:ascii="Century Gothic" w:hAnsi="Century Gothic" w:cs="Arial"/>
        </w:rPr>
        <w:t> </w:t>
      </w:r>
      <w:r w:rsidR="009A6DF9">
        <w:rPr>
          <w:rFonts w:ascii="Century Gothic" w:hAnsi="Century Gothic" w:cs="Arial"/>
        </w:rPr>
        <w:t>komplikovaným procesem schvalování jednotlivých projektů. Doposud s</w:t>
      </w:r>
      <w:r w:rsidR="009A6DF9" w:rsidRPr="005A0B57">
        <w:rPr>
          <w:rFonts w:ascii="Century Gothic" w:hAnsi="Century Gothic" w:cs="Arial"/>
        </w:rPr>
        <w:t xml:space="preserve">libně se vyvíjející </w:t>
      </w:r>
      <w:r w:rsidR="009A6DF9">
        <w:rPr>
          <w:rFonts w:ascii="Century Gothic" w:hAnsi="Century Gothic" w:cs="Arial"/>
        </w:rPr>
        <w:t xml:space="preserve">pražský rezidenční trh tak aktuálně nejvíce paralyzuje </w:t>
      </w:r>
      <w:r w:rsidR="00762A69">
        <w:rPr>
          <w:rFonts w:ascii="Century Gothic" w:hAnsi="Century Gothic" w:cs="Arial"/>
        </w:rPr>
        <w:t xml:space="preserve">nedostatek </w:t>
      </w:r>
      <w:r w:rsidR="000F3B57">
        <w:rPr>
          <w:rFonts w:ascii="Century Gothic" w:hAnsi="Century Gothic" w:cs="Arial"/>
        </w:rPr>
        <w:t>volných bytových jednotek</w:t>
      </w:r>
      <w:r w:rsidR="009A6DF9">
        <w:rPr>
          <w:rFonts w:ascii="Century Gothic" w:hAnsi="Century Gothic" w:cs="Arial"/>
        </w:rPr>
        <w:t>, kter</w:t>
      </w:r>
      <w:r w:rsidR="00762A69">
        <w:rPr>
          <w:rFonts w:ascii="Century Gothic" w:hAnsi="Century Gothic" w:cs="Arial"/>
        </w:rPr>
        <w:t>ý</w:t>
      </w:r>
      <w:r w:rsidR="009A6DF9">
        <w:rPr>
          <w:rFonts w:ascii="Century Gothic" w:hAnsi="Century Gothic" w:cs="Arial"/>
        </w:rPr>
        <w:t xml:space="preserve"> se především u nových bytů významně projevuje růstem cen – jako u každého nedostatkového zboží. </w:t>
      </w:r>
    </w:p>
    <w:p w14:paraId="62ADD631" w14:textId="77777777" w:rsidR="00950CB8" w:rsidRDefault="00950CB8" w:rsidP="00C86301">
      <w:pPr>
        <w:spacing w:after="0" w:line="320" w:lineRule="atLeast"/>
        <w:jc w:val="both"/>
        <w:rPr>
          <w:rFonts w:ascii="Century Gothic" w:hAnsi="Century Gothic"/>
        </w:rPr>
      </w:pPr>
    </w:p>
    <w:p w14:paraId="02C8D727" w14:textId="38A6E93F" w:rsidR="00C16A6B" w:rsidRPr="006B466F" w:rsidRDefault="00762A69" w:rsidP="00C86301">
      <w:pPr>
        <w:spacing w:after="0" w:line="320" w:lineRule="atLeast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</w:t>
      </w:r>
      <w:r w:rsidR="004D37A5">
        <w:rPr>
          <w:rFonts w:ascii="Century Gothic" w:hAnsi="Century Gothic"/>
        </w:rPr>
        <w:t xml:space="preserve">očet </w:t>
      </w:r>
      <w:r>
        <w:rPr>
          <w:rFonts w:ascii="Century Gothic" w:hAnsi="Century Gothic"/>
        </w:rPr>
        <w:t xml:space="preserve">malometrážních bytů v dispozicích 1+kk a 2+kk v developerských projektech </w:t>
      </w:r>
      <w:r w:rsidR="00BC3309">
        <w:rPr>
          <w:rFonts w:ascii="Century Gothic" w:hAnsi="Century Gothic"/>
        </w:rPr>
        <w:t xml:space="preserve">se </w:t>
      </w:r>
      <w:r w:rsidR="000271BD">
        <w:rPr>
          <w:rFonts w:ascii="Century Gothic" w:hAnsi="Century Gothic"/>
        </w:rPr>
        <w:t xml:space="preserve">odvíjí od lokality, v níž se stavba </w:t>
      </w:r>
      <w:r w:rsidR="00BC3309">
        <w:rPr>
          <w:rFonts w:ascii="Century Gothic" w:hAnsi="Century Gothic"/>
        </w:rPr>
        <w:t>nachází, a</w:t>
      </w:r>
      <w:r w:rsidR="004D37A5">
        <w:rPr>
          <w:rFonts w:ascii="Century Gothic" w:hAnsi="Century Gothic"/>
        </w:rPr>
        <w:t> </w:t>
      </w:r>
      <w:r w:rsidR="00BC3309">
        <w:rPr>
          <w:rFonts w:ascii="Century Gothic" w:hAnsi="Century Gothic"/>
        </w:rPr>
        <w:t xml:space="preserve">segmentu </w:t>
      </w:r>
      <w:r w:rsidR="00BC1BD4">
        <w:rPr>
          <w:rFonts w:ascii="Century Gothic" w:hAnsi="Century Gothic"/>
        </w:rPr>
        <w:t>rezidenčního</w:t>
      </w:r>
      <w:r w:rsidR="00BC3309">
        <w:rPr>
          <w:rFonts w:ascii="Century Gothic" w:hAnsi="Century Gothic"/>
        </w:rPr>
        <w:t xml:space="preserve"> trhu, do kte</w:t>
      </w:r>
      <w:r w:rsidR="00E922D9">
        <w:rPr>
          <w:rFonts w:ascii="Century Gothic" w:hAnsi="Century Gothic"/>
        </w:rPr>
        <w:t xml:space="preserve">rého se řadí. </w:t>
      </w:r>
      <w:r w:rsidR="000407E4">
        <w:rPr>
          <w:rFonts w:ascii="Century Gothic" w:hAnsi="Century Gothic" w:cs="Helvetica"/>
          <w:bCs/>
          <w:color w:val="000000"/>
        </w:rPr>
        <w:t>„</w:t>
      </w:r>
      <w:r w:rsidR="00BC1BD4">
        <w:rPr>
          <w:rFonts w:ascii="Century Gothic" w:hAnsi="Century Gothic" w:cs="Helvetica"/>
          <w:bCs/>
          <w:color w:val="000000"/>
        </w:rPr>
        <w:t>V l</w:t>
      </w:r>
      <w:r w:rsidR="00FC3A4E">
        <w:rPr>
          <w:rFonts w:ascii="Century Gothic" w:hAnsi="Century Gothic" w:cs="Helvetica"/>
          <w:bCs/>
          <w:color w:val="000000"/>
        </w:rPr>
        <w:t>uxusní</w:t>
      </w:r>
      <w:r w:rsidR="00BC1BD4">
        <w:rPr>
          <w:rFonts w:ascii="Century Gothic" w:hAnsi="Century Gothic" w:cs="Helvetica"/>
          <w:bCs/>
          <w:color w:val="000000"/>
        </w:rPr>
        <w:t xml:space="preserve">ch </w:t>
      </w:r>
      <w:r w:rsidR="00F60DDB">
        <w:rPr>
          <w:rFonts w:ascii="Century Gothic" w:hAnsi="Century Gothic" w:cs="Helvetica"/>
          <w:bCs/>
          <w:color w:val="000000"/>
        </w:rPr>
        <w:t xml:space="preserve">projektech standardně </w:t>
      </w:r>
      <w:r w:rsidR="00BC1BD4">
        <w:rPr>
          <w:rFonts w:ascii="Century Gothic" w:hAnsi="Century Gothic" w:cs="Helvetica"/>
          <w:bCs/>
          <w:color w:val="000000"/>
        </w:rPr>
        <w:t>mnoho malých bytů ne</w:t>
      </w:r>
      <w:r w:rsidR="00F60DDB">
        <w:rPr>
          <w:rFonts w:ascii="Century Gothic" w:hAnsi="Century Gothic" w:cs="Helvetica"/>
          <w:bCs/>
          <w:color w:val="000000"/>
        </w:rPr>
        <w:t>bývá</w:t>
      </w:r>
      <w:r w:rsidR="00BC1BD4">
        <w:rPr>
          <w:rFonts w:ascii="Century Gothic" w:hAnsi="Century Gothic" w:cs="Helvetica"/>
          <w:bCs/>
          <w:color w:val="000000"/>
        </w:rPr>
        <w:t xml:space="preserve">. </w:t>
      </w:r>
      <w:r w:rsidR="004E3080">
        <w:rPr>
          <w:rFonts w:ascii="Century Gothic" w:hAnsi="Century Gothic" w:cs="Helvetica"/>
          <w:bCs/>
          <w:color w:val="000000"/>
        </w:rPr>
        <w:t>Odhadujeme, že v celkové skladbě</w:t>
      </w:r>
      <w:r w:rsidR="00CD1020">
        <w:rPr>
          <w:rFonts w:ascii="Century Gothic" w:hAnsi="Century Gothic" w:cs="Helvetica"/>
          <w:bCs/>
          <w:color w:val="000000"/>
        </w:rPr>
        <w:t xml:space="preserve"> bytových</w:t>
      </w:r>
      <w:r w:rsidR="004E3080">
        <w:rPr>
          <w:rFonts w:ascii="Century Gothic" w:hAnsi="Century Gothic" w:cs="Helvetica"/>
          <w:bCs/>
          <w:color w:val="000000"/>
        </w:rPr>
        <w:t xml:space="preserve"> </w:t>
      </w:r>
      <w:r w:rsidR="00CD1020">
        <w:rPr>
          <w:rFonts w:ascii="Century Gothic" w:hAnsi="Century Gothic" w:cs="Helvetica"/>
          <w:bCs/>
          <w:color w:val="000000"/>
        </w:rPr>
        <w:t xml:space="preserve">jednotek </w:t>
      </w:r>
      <w:r w:rsidR="004E3080">
        <w:rPr>
          <w:rFonts w:ascii="Century Gothic" w:hAnsi="Century Gothic" w:cs="Helvetica"/>
          <w:bCs/>
          <w:color w:val="000000"/>
        </w:rPr>
        <w:t>tvoří přibližně 10 %</w:t>
      </w:r>
      <w:r w:rsidR="00BC1BD4">
        <w:rPr>
          <w:rFonts w:ascii="Century Gothic" w:hAnsi="Century Gothic" w:cs="Helvetica"/>
          <w:bCs/>
          <w:color w:val="000000"/>
        </w:rPr>
        <w:t xml:space="preserve">. </w:t>
      </w:r>
      <w:r w:rsidR="00F60DDB">
        <w:rPr>
          <w:rFonts w:ascii="Century Gothic" w:hAnsi="Century Gothic" w:cs="Helvetica"/>
          <w:bCs/>
          <w:color w:val="000000"/>
        </w:rPr>
        <w:t>N</w:t>
      </w:r>
      <w:r w:rsidR="00BC1BD4">
        <w:rPr>
          <w:rFonts w:ascii="Century Gothic" w:hAnsi="Century Gothic" w:cs="Helvetica"/>
          <w:bCs/>
          <w:color w:val="000000"/>
        </w:rPr>
        <w:t xml:space="preserve">ízké </w:t>
      </w:r>
      <w:r w:rsidR="00FC3A4E">
        <w:rPr>
          <w:rFonts w:ascii="Century Gothic" w:hAnsi="Century Gothic" w:cs="Helvetica"/>
          <w:bCs/>
          <w:color w:val="000000"/>
        </w:rPr>
        <w:t xml:space="preserve">procento </w:t>
      </w:r>
      <w:r w:rsidR="00100FBD">
        <w:rPr>
          <w:rFonts w:ascii="Century Gothic" w:hAnsi="Century Gothic" w:cs="Helvetica"/>
          <w:bCs/>
          <w:color w:val="000000"/>
        </w:rPr>
        <w:t>je obvyklé</w:t>
      </w:r>
      <w:r w:rsidR="00FC3A4E">
        <w:rPr>
          <w:rFonts w:ascii="Century Gothic" w:hAnsi="Century Gothic" w:cs="Helvetica"/>
          <w:bCs/>
          <w:color w:val="000000"/>
        </w:rPr>
        <w:t xml:space="preserve"> rovněž u nemovitostí v </w:t>
      </w:r>
      <w:r w:rsidR="007A41B8">
        <w:rPr>
          <w:rFonts w:ascii="Century Gothic" w:hAnsi="Century Gothic" w:cs="Helvetica"/>
          <w:bCs/>
          <w:color w:val="000000"/>
        </w:rPr>
        <w:t>oblastech</w:t>
      </w:r>
      <w:r w:rsidR="00FC3A4E">
        <w:rPr>
          <w:rFonts w:ascii="Century Gothic" w:hAnsi="Century Gothic" w:cs="Helvetica"/>
          <w:bCs/>
          <w:color w:val="000000"/>
        </w:rPr>
        <w:t>, které</w:t>
      </w:r>
      <w:r w:rsidR="00A54F3C">
        <w:rPr>
          <w:rFonts w:ascii="Century Gothic" w:hAnsi="Century Gothic" w:cs="Helvetica"/>
          <w:bCs/>
          <w:color w:val="000000"/>
        </w:rPr>
        <w:t xml:space="preserve"> </w:t>
      </w:r>
      <w:r w:rsidR="00FC3A4E">
        <w:rPr>
          <w:rFonts w:ascii="Century Gothic" w:hAnsi="Century Gothic" w:cs="Helvetica"/>
          <w:bCs/>
          <w:color w:val="000000"/>
        </w:rPr>
        <w:t>splňují všechny</w:t>
      </w:r>
      <w:r w:rsidR="00BC1BD4">
        <w:rPr>
          <w:rFonts w:ascii="Century Gothic" w:hAnsi="Century Gothic" w:cs="Helvetica"/>
          <w:bCs/>
          <w:color w:val="000000"/>
        </w:rPr>
        <w:t xml:space="preserve"> nároky na</w:t>
      </w:r>
      <w:r w:rsidR="00A54F3C">
        <w:rPr>
          <w:rFonts w:ascii="Century Gothic" w:hAnsi="Century Gothic" w:cs="Helvetica"/>
          <w:bCs/>
          <w:color w:val="000000"/>
        </w:rPr>
        <w:t xml:space="preserve"> rodi</w:t>
      </w:r>
      <w:r w:rsidR="00FC3A4E">
        <w:rPr>
          <w:rFonts w:ascii="Century Gothic" w:hAnsi="Century Gothic" w:cs="Helvetica"/>
          <w:bCs/>
          <w:color w:val="000000"/>
        </w:rPr>
        <w:t xml:space="preserve">nné bydlení. </w:t>
      </w:r>
      <w:r w:rsidR="00FD68BC">
        <w:rPr>
          <w:rFonts w:ascii="Century Gothic" w:hAnsi="Century Gothic" w:cs="Helvetica"/>
          <w:bCs/>
          <w:color w:val="000000"/>
        </w:rPr>
        <w:t xml:space="preserve">Největší počet investičních bytových jednotek – </w:t>
      </w:r>
      <w:r w:rsidR="00F60DDB">
        <w:rPr>
          <w:rFonts w:ascii="Century Gothic" w:hAnsi="Century Gothic" w:cs="Helvetica"/>
          <w:bCs/>
          <w:color w:val="000000"/>
        </w:rPr>
        <w:t>až 6</w:t>
      </w:r>
      <w:r w:rsidR="00FD68BC">
        <w:rPr>
          <w:rFonts w:ascii="Century Gothic" w:hAnsi="Century Gothic" w:cs="Helvetica"/>
          <w:bCs/>
          <w:color w:val="000000"/>
        </w:rPr>
        <w:t xml:space="preserve">5 % - obsahují projekty v lokalitách, které leží v centru, </w:t>
      </w:r>
      <w:r w:rsidR="00935AC4">
        <w:rPr>
          <w:rFonts w:ascii="Century Gothic" w:hAnsi="Century Gothic" w:cs="Helvetica"/>
          <w:bCs/>
          <w:color w:val="000000"/>
        </w:rPr>
        <w:t xml:space="preserve">v </w:t>
      </w:r>
      <w:r w:rsidR="00FD68BC">
        <w:rPr>
          <w:rFonts w:ascii="Century Gothic" w:hAnsi="Century Gothic" w:cs="Helvetica"/>
          <w:bCs/>
          <w:color w:val="000000"/>
        </w:rPr>
        <w:t xml:space="preserve">rozvojových zónách nebo nedaleko </w:t>
      </w:r>
      <w:r w:rsidR="00400F17">
        <w:rPr>
          <w:rFonts w:ascii="Century Gothic" w:hAnsi="Century Gothic" w:cs="Helvetica"/>
          <w:bCs/>
          <w:color w:val="000000"/>
        </w:rPr>
        <w:t xml:space="preserve">vysokých </w:t>
      </w:r>
      <w:r w:rsidR="00FD68BC">
        <w:rPr>
          <w:rFonts w:ascii="Century Gothic" w:hAnsi="Century Gothic" w:cs="Helvetica"/>
          <w:bCs/>
          <w:color w:val="000000"/>
        </w:rPr>
        <w:t>škol</w:t>
      </w:r>
      <w:r w:rsidR="000407E4">
        <w:rPr>
          <w:rFonts w:ascii="Century Gothic" w:hAnsi="Century Gothic" w:cs="Helvetica"/>
          <w:bCs/>
          <w:color w:val="000000"/>
        </w:rPr>
        <w:t xml:space="preserve">,“ přibližuje současnou situaci </w:t>
      </w:r>
      <w:r w:rsidR="000407E4">
        <w:rPr>
          <w:rFonts w:ascii="Century Gothic" w:hAnsi="Century Gothic" w:cs="Helvetica"/>
          <w:b/>
          <w:bCs/>
          <w:color w:val="000000"/>
        </w:rPr>
        <w:t xml:space="preserve">Denisa Višňovská. </w:t>
      </w:r>
    </w:p>
    <w:p w14:paraId="16DD390F" w14:textId="77777777" w:rsidR="00323642" w:rsidRDefault="00323642" w:rsidP="00C86301">
      <w:pPr>
        <w:spacing w:after="0" w:line="320" w:lineRule="atLeast"/>
        <w:jc w:val="both"/>
        <w:rPr>
          <w:rFonts w:ascii="Century Gothic" w:hAnsi="Century Gothic" w:cs="Helvetica"/>
          <w:b/>
          <w:bCs/>
          <w:color w:val="000000"/>
        </w:rPr>
      </w:pPr>
    </w:p>
    <w:p w14:paraId="77A9C5BD" w14:textId="09C8EA98" w:rsidR="00323642" w:rsidRPr="00643192" w:rsidRDefault="000357EC" w:rsidP="00323642">
      <w:pPr>
        <w:spacing w:after="0" w:line="320" w:lineRule="atLeast"/>
        <w:jc w:val="both"/>
        <w:rPr>
          <w:rFonts w:ascii="Century Gothic" w:hAnsi="Century Gothic" w:cs="Helvetica"/>
          <w:bCs/>
          <w:color w:val="000000"/>
        </w:rPr>
      </w:pPr>
      <w:r>
        <w:rPr>
          <w:rFonts w:ascii="Century Gothic" w:hAnsi="Century Gothic" w:cs="Helvetica"/>
          <w:bCs/>
          <w:color w:val="000000"/>
        </w:rPr>
        <w:t xml:space="preserve">Přestože zajímavé malometrážní byty na tuzemském realitním trhu stále jsou, jejich množství se </w:t>
      </w:r>
      <w:r w:rsidR="00E50FB2">
        <w:rPr>
          <w:rFonts w:ascii="Century Gothic" w:hAnsi="Century Gothic" w:cs="Helvetica"/>
          <w:bCs/>
          <w:color w:val="000000"/>
        </w:rPr>
        <w:t xml:space="preserve">neustále </w:t>
      </w:r>
      <w:r w:rsidR="007E3C94">
        <w:rPr>
          <w:rFonts w:ascii="Century Gothic" w:hAnsi="Century Gothic" w:cs="Helvetica"/>
          <w:bCs/>
          <w:color w:val="000000"/>
        </w:rPr>
        <w:t>snižuje</w:t>
      </w:r>
      <w:r w:rsidR="00625F8E">
        <w:rPr>
          <w:rFonts w:ascii="Century Gothic" w:hAnsi="Century Gothic" w:cs="Helvetica"/>
          <w:bCs/>
          <w:color w:val="000000"/>
        </w:rPr>
        <w:t xml:space="preserve">. </w:t>
      </w:r>
      <w:r w:rsidR="00323642">
        <w:rPr>
          <w:rFonts w:ascii="Century Gothic" w:hAnsi="Century Gothic" w:cs="Helvetica"/>
          <w:bCs/>
          <w:color w:val="000000"/>
        </w:rPr>
        <w:t xml:space="preserve">Pokud </w:t>
      </w:r>
      <w:r w:rsidR="00625F8E">
        <w:rPr>
          <w:rFonts w:ascii="Century Gothic" w:hAnsi="Century Gothic" w:cs="Helvetica"/>
          <w:bCs/>
          <w:color w:val="000000"/>
        </w:rPr>
        <w:t>již zájemce o </w:t>
      </w:r>
      <w:r w:rsidR="00323642">
        <w:rPr>
          <w:rFonts w:ascii="Century Gothic" w:hAnsi="Century Gothic" w:cs="Helvetica"/>
          <w:bCs/>
          <w:color w:val="000000"/>
        </w:rPr>
        <w:t>investiční nemovitost přistoupí k samotnému výběru, měl by</w:t>
      </w:r>
      <w:r w:rsidR="00AC32E6">
        <w:rPr>
          <w:rFonts w:ascii="Century Gothic" w:hAnsi="Century Gothic" w:cs="Helvetica"/>
          <w:bCs/>
          <w:color w:val="000000"/>
        </w:rPr>
        <w:t xml:space="preserve"> proto </w:t>
      </w:r>
      <w:r>
        <w:rPr>
          <w:rFonts w:ascii="Century Gothic" w:hAnsi="Century Gothic" w:cs="Helvetica"/>
          <w:bCs/>
          <w:color w:val="000000"/>
        </w:rPr>
        <w:t>vše zvážit</w:t>
      </w:r>
      <w:r w:rsidR="0066666C">
        <w:rPr>
          <w:rFonts w:ascii="Century Gothic" w:hAnsi="Century Gothic" w:cs="Helvetica"/>
          <w:bCs/>
          <w:color w:val="000000"/>
        </w:rPr>
        <w:t xml:space="preserve"> </w:t>
      </w:r>
      <w:r w:rsidR="00AC32E6">
        <w:rPr>
          <w:rFonts w:ascii="Century Gothic" w:hAnsi="Century Gothic" w:cs="Helvetica"/>
          <w:bCs/>
          <w:color w:val="000000"/>
        </w:rPr>
        <w:t xml:space="preserve">opravdu pečlivě a zaměřit se na několik </w:t>
      </w:r>
      <w:r w:rsidR="00AC32E6">
        <w:rPr>
          <w:rFonts w:ascii="Century Gothic" w:hAnsi="Century Gothic" w:cs="Helvetica"/>
          <w:bCs/>
          <w:color w:val="000000"/>
        </w:rPr>
        <w:lastRenderedPageBreak/>
        <w:t xml:space="preserve">podstatných </w:t>
      </w:r>
      <w:r>
        <w:rPr>
          <w:rFonts w:ascii="Century Gothic" w:hAnsi="Century Gothic" w:cs="Helvetica"/>
          <w:bCs/>
          <w:color w:val="000000"/>
        </w:rPr>
        <w:t>parametrů vyhlédnuté nemovitosti</w:t>
      </w:r>
      <w:r w:rsidR="006C79D3">
        <w:rPr>
          <w:rFonts w:ascii="Century Gothic" w:hAnsi="Century Gothic" w:cs="Helvetica"/>
          <w:bCs/>
          <w:color w:val="000000"/>
        </w:rPr>
        <w:t>.</w:t>
      </w:r>
      <w:r w:rsidR="00AC32E6">
        <w:rPr>
          <w:rFonts w:ascii="Century Gothic" w:hAnsi="Century Gothic" w:cs="Helvetica"/>
          <w:bCs/>
          <w:color w:val="000000"/>
        </w:rPr>
        <w:t xml:space="preserve"> V prvé řadě se jedná o </w:t>
      </w:r>
      <w:r w:rsidR="00323642" w:rsidRPr="00974078">
        <w:rPr>
          <w:rFonts w:ascii="Century Gothic" w:hAnsi="Century Gothic" w:cs="Helvetica"/>
          <w:bCs/>
          <w:color w:val="000000"/>
        </w:rPr>
        <w:t>cenu, velikost a technický</w:t>
      </w:r>
      <w:r w:rsidR="00323642">
        <w:rPr>
          <w:rFonts w:ascii="Century Gothic" w:hAnsi="Century Gothic" w:cs="Helvetica"/>
          <w:bCs/>
          <w:color w:val="000000"/>
        </w:rPr>
        <w:t xml:space="preserve"> st</w:t>
      </w:r>
      <w:r w:rsidR="00AC32E6">
        <w:rPr>
          <w:rFonts w:ascii="Century Gothic" w:hAnsi="Century Gothic" w:cs="Helvetica"/>
          <w:bCs/>
          <w:color w:val="000000"/>
        </w:rPr>
        <w:t xml:space="preserve">av dané bytové jednotky nebo </w:t>
      </w:r>
      <w:r w:rsidR="00323642">
        <w:rPr>
          <w:rFonts w:ascii="Century Gothic" w:hAnsi="Century Gothic" w:cs="Helvetica"/>
          <w:bCs/>
          <w:color w:val="000000"/>
        </w:rPr>
        <w:t>její stáří. Starší byty se dají koupit za nižší pořizovací cenu, investor však musí počítat s dodatečnými náklady za případnou rekonstrukci. Novostavby jsou oproti tomu dražší, ale často nabízejí komfortnější a</w:t>
      </w:r>
      <w:r w:rsidR="0018606A">
        <w:rPr>
          <w:rFonts w:ascii="Century Gothic" w:hAnsi="Century Gothic" w:cs="Helvetica"/>
          <w:bCs/>
          <w:color w:val="000000"/>
        </w:rPr>
        <w:t> </w:t>
      </w:r>
      <w:r w:rsidR="00323642">
        <w:rPr>
          <w:rFonts w:ascii="Century Gothic" w:hAnsi="Century Gothic" w:cs="Helvetica"/>
          <w:bCs/>
          <w:color w:val="000000"/>
        </w:rPr>
        <w:t xml:space="preserve">úspornější bydlení, za nějž lze požadovat vyšší nájemné. Investor by </w:t>
      </w:r>
      <w:r w:rsidR="0066666C">
        <w:rPr>
          <w:rFonts w:ascii="Century Gothic" w:hAnsi="Century Gothic" w:cs="Helvetica"/>
          <w:bCs/>
          <w:color w:val="000000"/>
        </w:rPr>
        <w:t xml:space="preserve">se </w:t>
      </w:r>
      <w:r w:rsidR="00323642">
        <w:rPr>
          <w:rFonts w:ascii="Century Gothic" w:hAnsi="Century Gothic" w:cs="Helvetica"/>
          <w:bCs/>
          <w:color w:val="000000"/>
        </w:rPr>
        <w:t xml:space="preserve">měl </w:t>
      </w:r>
      <w:r w:rsidR="0066666C">
        <w:rPr>
          <w:rFonts w:ascii="Century Gothic" w:hAnsi="Century Gothic" w:cs="Helvetica"/>
          <w:bCs/>
          <w:color w:val="000000"/>
        </w:rPr>
        <w:t>detailně seznámit</w:t>
      </w:r>
      <w:r w:rsidR="00323642">
        <w:rPr>
          <w:rFonts w:ascii="Century Gothic" w:hAnsi="Century Gothic" w:cs="Helvetica"/>
          <w:bCs/>
          <w:color w:val="000000"/>
        </w:rPr>
        <w:t xml:space="preserve"> i </w:t>
      </w:r>
      <w:r w:rsidR="0066666C">
        <w:rPr>
          <w:rFonts w:ascii="Century Gothic" w:hAnsi="Century Gothic" w:cs="Helvetica"/>
          <w:bCs/>
          <w:color w:val="000000"/>
        </w:rPr>
        <w:t xml:space="preserve">s </w:t>
      </w:r>
      <w:r w:rsidR="00323642">
        <w:rPr>
          <w:rFonts w:ascii="Century Gothic" w:hAnsi="Century Gothic" w:cs="Helvetica"/>
          <w:bCs/>
          <w:color w:val="000000"/>
        </w:rPr>
        <w:t>lokalit</w:t>
      </w:r>
      <w:r w:rsidR="0066666C">
        <w:rPr>
          <w:rFonts w:ascii="Century Gothic" w:hAnsi="Century Gothic" w:cs="Helvetica"/>
          <w:bCs/>
          <w:color w:val="000000"/>
        </w:rPr>
        <w:t>o</w:t>
      </w:r>
      <w:r w:rsidR="00323642">
        <w:rPr>
          <w:rFonts w:ascii="Century Gothic" w:hAnsi="Century Gothic" w:cs="Helvetica"/>
          <w:bCs/>
          <w:color w:val="000000"/>
        </w:rPr>
        <w:t>u, v níž se bude daná b</w:t>
      </w:r>
      <w:r>
        <w:rPr>
          <w:rFonts w:ascii="Century Gothic" w:hAnsi="Century Gothic" w:cs="Helvetica"/>
          <w:bCs/>
          <w:color w:val="000000"/>
        </w:rPr>
        <w:t xml:space="preserve">ytová jednotka nacházet. Ta </w:t>
      </w:r>
      <w:r w:rsidR="00323642">
        <w:rPr>
          <w:rFonts w:ascii="Century Gothic" w:hAnsi="Century Gothic" w:cs="Helvetica"/>
          <w:bCs/>
          <w:color w:val="000000"/>
        </w:rPr>
        <w:t>by měla disponovat</w:t>
      </w:r>
      <w:r>
        <w:rPr>
          <w:rFonts w:ascii="Century Gothic" w:hAnsi="Century Gothic" w:cs="Helvetica"/>
          <w:bCs/>
          <w:color w:val="000000"/>
        </w:rPr>
        <w:t xml:space="preserve"> dobrou občanskou vybaveností a </w:t>
      </w:r>
      <w:r w:rsidR="00323642">
        <w:rPr>
          <w:rFonts w:ascii="Century Gothic" w:hAnsi="Century Gothic" w:cs="Helvetica"/>
          <w:bCs/>
          <w:color w:val="000000"/>
        </w:rPr>
        <w:t>dopravní dostupností se zajištěnou možností parkování. „Při </w:t>
      </w:r>
      <w:r w:rsidR="0066666C">
        <w:rPr>
          <w:rFonts w:ascii="Century Gothic" w:hAnsi="Century Gothic" w:cs="Helvetica"/>
          <w:bCs/>
          <w:color w:val="000000"/>
        </w:rPr>
        <w:t>vol</w:t>
      </w:r>
      <w:r w:rsidR="00323642">
        <w:rPr>
          <w:rFonts w:ascii="Century Gothic" w:hAnsi="Century Gothic" w:cs="Helvetica"/>
          <w:bCs/>
          <w:color w:val="000000"/>
        </w:rPr>
        <w:t>bě investiční nemovitosti se nelze řídit emocemi. Kupující si nepořiz</w:t>
      </w:r>
      <w:r>
        <w:rPr>
          <w:rFonts w:ascii="Century Gothic" w:hAnsi="Century Gothic" w:cs="Helvetica"/>
          <w:bCs/>
          <w:color w:val="000000"/>
        </w:rPr>
        <w:t>uje nový domov, ale bydlení pro </w:t>
      </w:r>
      <w:r w:rsidR="00323642">
        <w:rPr>
          <w:rFonts w:ascii="Century Gothic" w:hAnsi="Century Gothic" w:cs="Helvetica"/>
          <w:bCs/>
          <w:color w:val="000000"/>
        </w:rPr>
        <w:t xml:space="preserve">budoucího nájemníka. Právě proto si musí předem pečlivě rozmyslet, kterým skupinám lidí chce byt pronajímat, a dívat se na něj jejich očima,“ konstatuje </w:t>
      </w:r>
      <w:r w:rsidR="00323642">
        <w:rPr>
          <w:rFonts w:ascii="Century Gothic" w:hAnsi="Century Gothic" w:cs="Helvetica"/>
          <w:b/>
          <w:bCs/>
          <w:color w:val="000000"/>
        </w:rPr>
        <w:t xml:space="preserve">Denisa Višňovská.  </w:t>
      </w:r>
    </w:p>
    <w:p w14:paraId="69CD3487" w14:textId="728FA666" w:rsidR="005B5929" w:rsidRDefault="005B5929" w:rsidP="00C86301">
      <w:pPr>
        <w:spacing w:after="0" w:line="320" w:lineRule="atLeast"/>
        <w:jc w:val="both"/>
        <w:rPr>
          <w:rFonts w:ascii="Century Gothic" w:hAnsi="Century Gothic"/>
        </w:rPr>
      </w:pPr>
    </w:p>
    <w:p w14:paraId="192437C6" w14:textId="77777777" w:rsidR="00A31B81" w:rsidRDefault="00A31B81" w:rsidP="00C86301">
      <w:pPr>
        <w:spacing w:after="0" w:line="320" w:lineRule="atLeast"/>
        <w:jc w:val="both"/>
        <w:rPr>
          <w:rFonts w:ascii="Century Gothic" w:hAnsi="Century Gothic"/>
        </w:rPr>
      </w:pPr>
    </w:p>
    <w:p w14:paraId="1D7C5610" w14:textId="77777777" w:rsidR="00A31B81" w:rsidRDefault="00A31B81" w:rsidP="00C86301">
      <w:pPr>
        <w:spacing w:after="0" w:line="320" w:lineRule="atLeast"/>
        <w:jc w:val="both"/>
        <w:rPr>
          <w:rFonts w:ascii="Century Gothic" w:hAnsi="Century Gothic"/>
        </w:rPr>
      </w:pPr>
    </w:p>
    <w:p w14:paraId="65588426" w14:textId="77777777" w:rsidR="000142E3" w:rsidRPr="003D3099" w:rsidRDefault="00296BDE">
      <w:pPr>
        <w:spacing w:line="240" w:lineRule="auto"/>
        <w:jc w:val="both"/>
        <w:rPr>
          <w:rFonts w:ascii="Century Gothic" w:hAnsi="Century Gothic" w:cs="Tahoma"/>
          <w:b/>
          <w:color w:val="002060"/>
          <w:sz w:val="24"/>
          <w:szCs w:val="24"/>
        </w:rPr>
      </w:pPr>
      <w:r>
        <w:rPr>
          <w:rFonts w:ascii="Century Gothic" w:hAnsi="Century Gothic" w:cs="Tahoma"/>
          <w:b/>
          <w:color w:val="002060"/>
          <w:sz w:val="24"/>
          <w:szCs w:val="24"/>
        </w:rPr>
        <w:t>Realitní společnost</w:t>
      </w:r>
      <w:r w:rsidR="000142E3" w:rsidRPr="003D3099">
        <w:rPr>
          <w:rFonts w:ascii="Century Gothic" w:hAnsi="Century Gothic" w:cs="Tahoma"/>
          <w:b/>
          <w:color w:val="002060"/>
          <w:sz w:val="24"/>
          <w:szCs w:val="24"/>
        </w:rPr>
        <w:t xml:space="preserve"> LEXXUS</w:t>
      </w:r>
    </w:p>
    <w:p w14:paraId="159C4E83" w14:textId="378AEF7E" w:rsidR="00096CC2" w:rsidRDefault="000142E3" w:rsidP="004E7664">
      <w:pPr>
        <w:jc w:val="both"/>
        <w:rPr>
          <w:rFonts w:ascii="Century Gothic" w:hAnsi="Century Gothic" w:cs="Tahoma"/>
        </w:rPr>
      </w:pPr>
      <w:r w:rsidRPr="00D053E4">
        <w:rPr>
          <w:rFonts w:ascii="Century Gothic" w:hAnsi="Century Gothic" w:cs="Tahoma"/>
        </w:rPr>
        <w:t xml:space="preserve">Realitní kancelář LEXXUS nabízí </w:t>
      </w:r>
      <w:r w:rsidR="00D56001" w:rsidRPr="00D053E4">
        <w:rPr>
          <w:rFonts w:ascii="Century Gothic" w:hAnsi="Century Gothic" w:cs="Tahoma"/>
        </w:rPr>
        <w:t>širokou nabídku</w:t>
      </w:r>
      <w:r w:rsidRPr="00D053E4">
        <w:rPr>
          <w:rFonts w:ascii="Century Gothic" w:hAnsi="Century Gothic" w:cs="Tahoma"/>
        </w:rPr>
        <w:t xml:space="preserve"> nových bytů, novostaveb v</w:t>
      </w:r>
      <w:r w:rsidR="007862EA">
        <w:rPr>
          <w:rFonts w:ascii="Century Gothic" w:hAnsi="Century Gothic" w:cs="Tahoma"/>
        </w:rPr>
        <w:t> </w:t>
      </w:r>
      <w:r w:rsidRPr="00D053E4">
        <w:rPr>
          <w:rFonts w:ascii="Century Gothic" w:hAnsi="Century Gothic" w:cs="Tahoma"/>
        </w:rPr>
        <w:t xml:space="preserve">developerských projektech, </w:t>
      </w:r>
      <w:r w:rsidR="004363E8" w:rsidRPr="00D053E4">
        <w:rPr>
          <w:rFonts w:ascii="Century Gothic" w:hAnsi="Century Gothic" w:cs="Tahoma"/>
        </w:rPr>
        <w:t xml:space="preserve">rodinných domů </w:t>
      </w:r>
      <w:r w:rsidRPr="00D053E4">
        <w:rPr>
          <w:rFonts w:ascii="Century Gothic" w:hAnsi="Century Gothic" w:cs="Tahoma"/>
        </w:rPr>
        <w:t xml:space="preserve">a pozemků v Praze a okolí. </w:t>
      </w:r>
      <w:r w:rsidR="00996EF1">
        <w:rPr>
          <w:rFonts w:ascii="Century Gothic" w:hAnsi="Century Gothic" w:cs="Tahoma"/>
        </w:rPr>
        <w:t xml:space="preserve">Již </w:t>
      </w:r>
      <w:r w:rsidR="00FF69D4">
        <w:rPr>
          <w:rFonts w:ascii="Century Gothic" w:hAnsi="Century Gothic" w:cs="Tahoma"/>
        </w:rPr>
        <w:t>v</w:t>
      </w:r>
      <w:r w:rsidRPr="00D053E4">
        <w:rPr>
          <w:rFonts w:ascii="Century Gothic" w:hAnsi="Century Gothic" w:cs="Tahoma"/>
        </w:rPr>
        <w:t xml:space="preserve">íce než dvě desítky </w:t>
      </w:r>
      <w:r w:rsidR="0047282A">
        <w:rPr>
          <w:rFonts w:ascii="Century Gothic" w:hAnsi="Century Gothic" w:cs="Tahoma"/>
        </w:rPr>
        <w:t xml:space="preserve">let </w:t>
      </w:r>
      <w:r w:rsidR="00996EF1">
        <w:rPr>
          <w:rFonts w:ascii="Century Gothic" w:hAnsi="Century Gothic" w:cs="Tahoma"/>
        </w:rPr>
        <w:t xml:space="preserve">se specializuje </w:t>
      </w:r>
      <w:r w:rsidR="0092431F">
        <w:rPr>
          <w:rFonts w:ascii="Century Gothic" w:hAnsi="Century Gothic" w:cs="Tahoma"/>
        </w:rPr>
        <w:t xml:space="preserve">na nové byty a je jejich </w:t>
      </w:r>
      <w:r w:rsidR="00996EF1">
        <w:rPr>
          <w:rFonts w:ascii="Century Gothic" w:hAnsi="Century Gothic" w:cs="Tahoma"/>
        </w:rPr>
        <w:t>největší</w:t>
      </w:r>
      <w:r w:rsidR="0092431F">
        <w:rPr>
          <w:rFonts w:ascii="Century Gothic" w:hAnsi="Century Gothic" w:cs="Tahoma"/>
        </w:rPr>
        <w:t>m</w:t>
      </w:r>
      <w:r w:rsidR="00996EF1">
        <w:rPr>
          <w:rFonts w:ascii="Century Gothic" w:hAnsi="Century Gothic" w:cs="Tahoma"/>
        </w:rPr>
        <w:t xml:space="preserve"> prodejce</w:t>
      </w:r>
      <w:r w:rsidR="0092431F">
        <w:rPr>
          <w:rFonts w:ascii="Century Gothic" w:hAnsi="Century Gothic" w:cs="Tahoma"/>
        </w:rPr>
        <w:t>m</w:t>
      </w:r>
      <w:r w:rsidR="00996EF1">
        <w:rPr>
          <w:rFonts w:ascii="Century Gothic" w:hAnsi="Century Gothic" w:cs="Tahoma"/>
        </w:rPr>
        <w:t xml:space="preserve"> </w:t>
      </w:r>
      <w:r w:rsidRPr="00D053E4">
        <w:rPr>
          <w:rFonts w:ascii="Century Gothic" w:hAnsi="Century Gothic" w:cs="Tahoma"/>
        </w:rPr>
        <w:t xml:space="preserve">v Praze. </w:t>
      </w:r>
      <w:r w:rsidR="004363E8" w:rsidRPr="00D053E4">
        <w:rPr>
          <w:rFonts w:ascii="Century Gothic" w:hAnsi="Century Gothic" w:cs="Tahoma"/>
        </w:rPr>
        <w:t>Lexxus je oblíbenou volbou náročných klientů</w:t>
      </w:r>
      <w:r w:rsidR="0092431F">
        <w:rPr>
          <w:rFonts w:ascii="Century Gothic" w:hAnsi="Century Gothic" w:cs="Tahoma"/>
        </w:rPr>
        <w:t>,</w:t>
      </w:r>
      <w:r w:rsidR="004363E8" w:rsidRPr="00D053E4">
        <w:rPr>
          <w:rFonts w:ascii="Century Gothic" w:hAnsi="Century Gothic" w:cs="Tahoma"/>
        </w:rPr>
        <w:t xml:space="preserve"> požadujících v</w:t>
      </w:r>
      <w:r w:rsidR="00FF69D4">
        <w:rPr>
          <w:rFonts w:ascii="Century Gothic" w:hAnsi="Century Gothic" w:cs="Tahoma"/>
        </w:rPr>
        <w:t>ysokou kvalitu služeb a</w:t>
      </w:r>
      <w:r w:rsidR="007862EA">
        <w:rPr>
          <w:rFonts w:ascii="Century Gothic" w:hAnsi="Century Gothic" w:cs="Tahoma"/>
        </w:rPr>
        <w:t> </w:t>
      </w:r>
      <w:r w:rsidR="00FF69D4">
        <w:rPr>
          <w:rFonts w:ascii="Century Gothic" w:hAnsi="Century Gothic" w:cs="Tahoma"/>
        </w:rPr>
        <w:t>nabídky</w:t>
      </w:r>
      <w:r w:rsidR="004363E8" w:rsidRPr="00D053E4">
        <w:rPr>
          <w:rFonts w:ascii="Century Gothic" w:hAnsi="Century Gothic" w:cs="Tahoma"/>
        </w:rPr>
        <w:t xml:space="preserve">. </w:t>
      </w:r>
      <w:r w:rsidR="00FF69D4">
        <w:rPr>
          <w:rFonts w:ascii="Century Gothic" w:hAnsi="Century Gothic" w:cs="Tahoma"/>
        </w:rPr>
        <w:t xml:space="preserve">V portfoliu </w:t>
      </w:r>
      <w:r w:rsidRPr="00D053E4">
        <w:rPr>
          <w:rFonts w:ascii="Century Gothic" w:hAnsi="Century Gothic" w:cs="Tahoma"/>
        </w:rPr>
        <w:t xml:space="preserve">společnosti jsou nové rezidenční projekty, nové byty a domy, second hand novostavby, rodinné domy na prodej i luxusní nemovitosti k prodeji či pronájmu. </w:t>
      </w:r>
      <w:r w:rsidR="0047282A">
        <w:rPr>
          <w:rFonts w:ascii="Century Gothic" w:hAnsi="Century Gothic" w:cs="Tahoma"/>
        </w:rPr>
        <w:t>Dále p</w:t>
      </w:r>
      <w:r w:rsidRPr="00D053E4">
        <w:rPr>
          <w:rFonts w:ascii="Century Gothic" w:hAnsi="Century Gothic" w:cs="Tahoma"/>
        </w:rPr>
        <w:t>od značkou Lexxus Norton zajišťuje prodej či pronájem výhradně luxusních, nadstandardních</w:t>
      </w:r>
      <w:r w:rsidR="0047282A">
        <w:rPr>
          <w:rFonts w:ascii="Century Gothic" w:hAnsi="Century Gothic" w:cs="Tahoma"/>
        </w:rPr>
        <w:t xml:space="preserve"> </w:t>
      </w:r>
      <w:r w:rsidRPr="00D053E4">
        <w:rPr>
          <w:rFonts w:ascii="Century Gothic" w:hAnsi="Century Gothic" w:cs="Tahoma"/>
        </w:rPr>
        <w:t>rezidenčních nemovitostí v nejlepších lokalitách Prahy a</w:t>
      </w:r>
      <w:r w:rsidR="007862EA">
        <w:rPr>
          <w:rFonts w:ascii="Century Gothic" w:hAnsi="Century Gothic" w:cs="Tahoma"/>
        </w:rPr>
        <w:t> </w:t>
      </w:r>
      <w:r w:rsidRPr="00D053E4">
        <w:rPr>
          <w:rFonts w:ascii="Century Gothic" w:hAnsi="Century Gothic" w:cs="Tahoma"/>
        </w:rPr>
        <w:t>okolí.</w:t>
      </w:r>
    </w:p>
    <w:p w14:paraId="19AE4C29" w14:textId="77777777" w:rsidR="000142E3" w:rsidRPr="003D3099" w:rsidRDefault="000142E3" w:rsidP="006B466F">
      <w:pPr>
        <w:spacing w:line="320" w:lineRule="atLeast"/>
        <w:jc w:val="both"/>
        <w:rPr>
          <w:rFonts w:ascii="Century Gothic" w:hAnsi="Century Gothic" w:cs="Tahoma"/>
          <w:b/>
          <w:color w:val="002060"/>
          <w:sz w:val="24"/>
          <w:szCs w:val="24"/>
        </w:rPr>
      </w:pPr>
      <w:r w:rsidRPr="003D3099">
        <w:rPr>
          <w:rFonts w:ascii="Century Gothic" w:hAnsi="Century Gothic" w:cs="Tahoma"/>
          <w:b/>
          <w:color w:val="002060"/>
          <w:sz w:val="24"/>
          <w:szCs w:val="24"/>
        </w:rPr>
        <w:t>Kontakt</w:t>
      </w:r>
    </w:p>
    <w:p w14:paraId="4EAC7259" w14:textId="77777777" w:rsidR="000142E3" w:rsidRPr="00C67732" w:rsidRDefault="00AC46BC" w:rsidP="006B466F">
      <w:pPr>
        <w:pStyle w:val="Bezmezer"/>
        <w:spacing w:line="320" w:lineRule="atLeast"/>
        <w:rPr>
          <w:rFonts w:ascii="Century Gothic" w:hAnsi="Century Gothic" w:cs="Tahoma"/>
          <w:b/>
        </w:rPr>
      </w:pPr>
      <w:r w:rsidRPr="00C67732">
        <w:rPr>
          <w:rFonts w:ascii="Century Gothic" w:hAnsi="Century Gothic" w:cs="Tahoma"/>
          <w:b/>
        </w:rPr>
        <w:t>Mgr. Denisa Višňovská</w:t>
      </w:r>
    </w:p>
    <w:p w14:paraId="48AB95AD" w14:textId="77777777" w:rsidR="000142E3" w:rsidRPr="00C67732" w:rsidRDefault="00AC46BC" w:rsidP="006B466F">
      <w:pPr>
        <w:pStyle w:val="Bezmezer"/>
        <w:spacing w:line="320" w:lineRule="atLeast"/>
        <w:rPr>
          <w:rFonts w:ascii="Century Gothic" w:hAnsi="Century Gothic" w:cs="Tahoma"/>
        </w:rPr>
      </w:pPr>
      <w:r w:rsidRPr="00C67732">
        <w:rPr>
          <w:rFonts w:ascii="Century Gothic" w:hAnsi="Century Gothic" w:cs="Tahoma"/>
        </w:rPr>
        <w:t>Partner</w:t>
      </w:r>
      <w:r w:rsidR="000142E3" w:rsidRPr="00C67732">
        <w:rPr>
          <w:rFonts w:ascii="Century Gothic" w:hAnsi="Century Gothic" w:cs="Tahoma"/>
        </w:rPr>
        <w:t xml:space="preserve"> LEXXUS</w:t>
      </w:r>
    </w:p>
    <w:p w14:paraId="7999E36A" w14:textId="77777777" w:rsidR="000142E3" w:rsidRPr="00C67732" w:rsidRDefault="000142E3" w:rsidP="006B466F">
      <w:pPr>
        <w:pStyle w:val="Bezmezer"/>
        <w:spacing w:line="320" w:lineRule="atLeast"/>
        <w:rPr>
          <w:rFonts w:ascii="Century Gothic" w:hAnsi="Century Gothic" w:cs="Tahoma"/>
          <w:bCs/>
        </w:rPr>
      </w:pPr>
      <w:r w:rsidRPr="00C67732">
        <w:rPr>
          <w:rFonts w:ascii="Century Gothic" w:hAnsi="Century Gothic" w:cs="Tahoma"/>
        </w:rPr>
        <w:t xml:space="preserve">Email: </w:t>
      </w:r>
      <w:hyperlink r:id="rId8" w:history="1">
        <w:r w:rsidRPr="00C67732">
          <w:rPr>
            <w:rStyle w:val="Hypertextovodkaz"/>
            <w:rFonts w:ascii="Century Gothic" w:hAnsi="Century Gothic"/>
          </w:rPr>
          <w:t>pr@lexxus.cz</w:t>
        </w:r>
      </w:hyperlink>
    </w:p>
    <w:p w14:paraId="1FB643FC" w14:textId="77777777" w:rsidR="000142E3" w:rsidRPr="00C67732" w:rsidRDefault="000142E3" w:rsidP="006B466F">
      <w:pPr>
        <w:pStyle w:val="Bezmezer"/>
        <w:spacing w:line="320" w:lineRule="atLeast"/>
        <w:rPr>
          <w:rFonts w:ascii="Century Gothic" w:hAnsi="Century Gothic" w:cs="Century Gothic"/>
        </w:rPr>
      </w:pPr>
      <w:r w:rsidRPr="00C67732">
        <w:rPr>
          <w:rFonts w:ascii="Century Gothic" w:hAnsi="Century Gothic" w:cs="Tahoma"/>
          <w:bCs/>
        </w:rPr>
        <w:t xml:space="preserve">Telefon: </w:t>
      </w:r>
      <w:r w:rsidRPr="00C67732">
        <w:rPr>
          <w:rFonts w:ascii="Century Gothic" w:hAnsi="Century Gothic" w:cs="Century Gothic"/>
        </w:rPr>
        <w:t xml:space="preserve">+420 221 111 999 </w:t>
      </w:r>
    </w:p>
    <w:p w14:paraId="081FB06E" w14:textId="287CBA0E" w:rsidR="006C397A" w:rsidRDefault="00D1533A" w:rsidP="006B466F">
      <w:pPr>
        <w:pStyle w:val="Bezmezer"/>
        <w:spacing w:line="320" w:lineRule="atLeast"/>
        <w:rPr>
          <w:rStyle w:val="Hypertextovodkaz"/>
          <w:rFonts w:ascii="Century Gothic" w:hAnsi="Century Gothic"/>
        </w:rPr>
      </w:pPr>
      <w:hyperlink r:id="rId9" w:history="1">
        <w:r w:rsidR="000142E3" w:rsidRPr="00C67732">
          <w:rPr>
            <w:rStyle w:val="Hypertextovodkaz"/>
            <w:rFonts w:ascii="Century Gothic" w:hAnsi="Century Gothic"/>
          </w:rPr>
          <w:t>www.lexxus.cz</w:t>
        </w:r>
      </w:hyperlink>
    </w:p>
    <w:p w14:paraId="3D3D4DF1" w14:textId="77777777" w:rsidR="00D1533A" w:rsidRDefault="00D1533A" w:rsidP="006B466F">
      <w:pPr>
        <w:pStyle w:val="Bezmezer"/>
        <w:spacing w:line="320" w:lineRule="atLeast"/>
        <w:rPr>
          <w:rStyle w:val="Hypertextovodkaz"/>
          <w:rFonts w:ascii="Century Gothic" w:hAnsi="Century Gothic"/>
        </w:rPr>
      </w:pPr>
    </w:p>
    <w:p w14:paraId="0AE03A20" w14:textId="77777777" w:rsidR="00D1533A" w:rsidRPr="006F5697" w:rsidRDefault="00D1533A" w:rsidP="00D1533A">
      <w:pPr>
        <w:spacing w:after="0" w:line="320" w:lineRule="atLeast"/>
        <w:jc w:val="both"/>
        <w:rPr>
          <w:rFonts w:ascii="Century Gothic" w:hAnsi="Century Gothic" w:cs="Arial"/>
          <w:b/>
          <w:color w:val="002060"/>
        </w:rPr>
      </w:pPr>
      <w:r w:rsidRPr="006F5697">
        <w:rPr>
          <w:rFonts w:ascii="Century Gothic" w:hAnsi="Century Gothic" w:cs="Arial"/>
          <w:b/>
          <w:color w:val="002060"/>
        </w:rPr>
        <w:t xml:space="preserve">PR agentura </w:t>
      </w:r>
      <w:proofErr w:type="spellStart"/>
      <w:r w:rsidRPr="006F5697">
        <w:rPr>
          <w:rFonts w:ascii="Century Gothic" w:hAnsi="Century Gothic" w:cs="Arial"/>
          <w:b/>
          <w:color w:val="002060"/>
        </w:rPr>
        <w:t>Crest</w:t>
      </w:r>
      <w:proofErr w:type="spellEnd"/>
      <w:r w:rsidRPr="006F5697">
        <w:rPr>
          <w:rFonts w:ascii="Century Gothic" w:hAnsi="Century Gothic" w:cs="Arial"/>
          <w:b/>
          <w:color w:val="002060"/>
        </w:rPr>
        <w:t xml:space="preserve"> Communications</w:t>
      </w:r>
    </w:p>
    <w:p w14:paraId="5722881C" w14:textId="77777777" w:rsidR="00D1533A" w:rsidRPr="006F5697" w:rsidRDefault="00D1533A" w:rsidP="00D1533A">
      <w:pPr>
        <w:pStyle w:val="Bezmezer"/>
        <w:spacing w:line="320" w:lineRule="atLeast"/>
        <w:rPr>
          <w:rFonts w:ascii="Century Gothic" w:hAnsi="Century Gothic" w:cs="Arial"/>
          <w:b/>
        </w:rPr>
      </w:pPr>
      <w:r w:rsidRPr="006F5697">
        <w:rPr>
          <w:rFonts w:ascii="Century Gothic" w:hAnsi="Century Gothic" w:cs="Arial"/>
          <w:b/>
        </w:rPr>
        <w:t>Marcela Kukaňová</w:t>
      </w:r>
    </w:p>
    <w:p w14:paraId="62CC73A2" w14:textId="77777777" w:rsidR="00D1533A" w:rsidRPr="006F5697" w:rsidRDefault="00D1533A" w:rsidP="00D1533A">
      <w:pPr>
        <w:pStyle w:val="Bezmezer"/>
        <w:spacing w:line="320" w:lineRule="atLeast"/>
        <w:rPr>
          <w:rFonts w:ascii="Century Gothic" w:hAnsi="Century Gothic" w:cs="Arial"/>
        </w:rPr>
      </w:pPr>
      <w:r w:rsidRPr="006F5697">
        <w:rPr>
          <w:rFonts w:ascii="Century Gothic" w:hAnsi="Century Gothic" w:cs="Arial"/>
        </w:rPr>
        <w:t xml:space="preserve">Email: </w:t>
      </w:r>
      <w:hyperlink r:id="rId10" w:history="1">
        <w:r w:rsidRPr="006F5697">
          <w:rPr>
            <w:rStyle w:val="Hypertextovodkaz"/>
            <w:rFonts w:ascii="Century Gothic" w:hAnsi="Century Gothic" w:cs="Arial"/>
          </w:rPr>
          <w:t>marcela.kukanova@crestcom.cz</w:t>
        </w:r>
      </w:hyperlink>
    </w:p>
    <w:p w14:paraId="587D0968" w14:textId="77777777" w:rsidR="00D1533A" w:rsidRPr="006F5697" w:rsidRDefault="00D1533A" w:rsidP="00D1533A">
      <w:pPr>
        <w:pStyle w:val="Bezmezer"/>
        <w:spacing w:line="320" w:lineRule="atLeast"/>
        <w:rPr>
          <w:rFonts w:ascii="Century Gothic" w:hAnsi="Century Gothic" w:cs="Arial"/>
        </w:rPr>
      </w:pPr>
      <w:r w:rsidRPr="006F5697">
        <w:rPr>
          <w:rFonts w:ascii="Century Gothic" w:hAnsi="Century Gothic" w:cs="Arial"/>
        </w:rPr>
        <w:t>Telefon: +420 731 613 618</w:t>
      </w:r>
    </w:p>
    <w:p w14:paraId="4FDEC8C6" w14:textId="77777777" w:rsidR="00D1533A" w:rsidRPr="006F5697" w:rsidRDefault="00D1533A" w:rsidP="00D1533A">
      <w:pPr>
        <w:pStyle w:val="Bezmezer"/>
        <w:spacing w:line="320" w:lineRule="atLeast"/>
        <w:rPr>
          <w:rFonts w:ascii="Century Gothic" w:hAnsi="Century Gothic" w:cs="Arial"/>
        </w:rPr>
      </w:pPr>
    </w:p>
    <w:p w14:paraId="30C946A5" w14:textId="77777777" w:rsidR="00D1533A" w:rsidRPr="006F5697" w:rsidRDefault="00D1533A" w:rsidP="00D1533A">
      <w:pPr>
        <w:pStyle w:val="Bezmezer"/>
        <w:spacing w:line="320" w:lineRule="atLeast"/>
        <w:rPr>
          <w:rFonts w:ascii="Century Gothic" w:hAnsi="Century Gothic" w:cs="Arial"/>
          <w:b/>
        </w:rPr>
      </w:pPr>
      <w:r w:rsidRPr="006F5697">
        <w:rPr>
          <w:rFonts w:ascii="Century Gothic" w:hAnsi="Century Gothic" w:cs="Arial"/>
          <w:b/>
        </w:rPr>
        <w:t>Marie Cimplová</w:t>
      </w:r>
    </w:p>
    <w:p w14:paraId="34A8054E" w14:textId="77777777" w:rsidR="00D1533A" w:rsidRPr="006F5697" w:rsidRDefault="00D1533A" w:rsidP="00D1533A">
      <w:pPr>
        <w:pStyle w:val="Bezmezer"/>
        <w:spacing w:line="320" w:lineRule="atLeast"/>
        <w:rPr>
          <w:rFonts w:ascii="Century Gothic" w:hAnsi="Century Gothic" w:cs="Arial"/>
        </w:rPr>
      </w:pPr>
      <w:r w:rsidRPr="006F5697">
        <w:rPr>
          <w:rFonts w:ascii="Century Gothic" w:hAnsi="Century Gothic" w:cs="Arial"/>
        </w:rPr>
        <w:t xml:space="preserve">Email: </w:t>
      </w:r>
      <w:hyperlink r:id="rId11" w:history="1">
        <w:r w:rsidRPr="006F5697">
          <w:rPr>
            <w:rStyle w:val="Hypertextovodkaz"/>
            <w:rFonts w:ascii="Century Gothic" w:hAnsi="Century Gothic" w:cs="Arial"/>
          </w:rPr>
          <w:t>marie.cimplova</w:t>
        </w:r>
        <w:r w:rsidRPr="006F5697">
          <w:rPr>
            <w:rStyle w:val="Hypertextovodkaz"/>
            <w:rFonts w:ascii="Century Gothic" w:hAnsi="Century Gothic" w:cs="Arial"/>
            <w:lang w:val="en-US"/>
          </w:rPr>
          <w:t>@</w:t>
        </w:r>
        <w:r w:rsidRPr="006F5697">
          <w:rPr>
            <w:rStyle w:val="Hypertextovodkaz"/>
            <w:rFonts w:ascii="Century Gothic" w:hAnsi="Century Gothic" w:cs="Arial"/>
          </w:rPr>
          <w:t>crestcom.cz</w:t>
        </w:r>
      </w:hyperlink>
    </w:p>
    <w:p w14:paraId="2CE04140" w14:textId="77777777" w:rsidR="00D1533A" w:rsidRPr="006F5697" w:rsidRDefault="00D1533A" w:rsidP="00D1533A">
      <w:pPr>
        <w:pStyle w:val="Bezmezer"/>
        <w:spacing w:line="320" w:lineRule="atLeast"/>
        <w:rPr>
          <w:rFonts w:ascii="Century Gothic" w:hAnsi="Century Gothic" w:cs="Arial"/>
        </w:rPr>
      </w:pPr>
      <w:r w:rsidRPr="006F5697">
        <w:rPr>
          <w:rFonts w:ascii="Century Gothic" w:hAnsi="Century Gothic" w:cs="Arial"/>
        </w:rPr>
        <w:t>Telefon: +420 222 927 128, 731 613 602</w:t>
      </w:r>
    </w:p>
    <w:p w14:paraId="32340BC4" w14:textId="77777777" w:rsidR="00D1533A" w:rsidRPr="006F5697" w:rsidRDefault="00D1533A" w:rsidP="00D1533A">
      <w:pPr>
        <w:pStyle w:val="Bezmezer"/>
        <w:spacing w:line="320" w:lineRule="atLeast"/>
        <w:rPr>
          <w:rFonts w:ascii="Century Gothic" w:hAnsi="Century Gothic" w:cs="Arial"/>
        </w:rPr>
      </w:pPr>
    </w:p>
    <w:p w14:paraId="73E3F2A3" w14:textId="6CCD2014" w:rsidR="00D1533A" w:rsidRPr="00096CC2" w:rsidRDefault="00D1533A" w:rsidP="006B466F">
      <w:pPr>
        <w:pStyle w:val="Bezmezer"/>
        <w:spacing w:line="320" w:lineRule="atLeast"/>
        <w:rPr>
          <w:rFonts w:ascii="Century Gothic" w:hAnsi="Century Gothic" w:cs="Times New Roman"/>
          <w:color w:val="0000FF"/>
          <w:u w:val="single"/>
        </w:rPr>
      </w:pPr>
      <w:r w:rsidRPr="006F5697">
        <w:rPr>
          <w:rFonts w:ascii="Century Gothic" w:hAnsi="Century Gothic" w:cs="Arial"/>
        </w:rPr>
        <w:t xml:space="preserve">Tiskové středisko: </w:t>
      </w:r>
      <w:hyperlink r:id="rId12" w:history="1">
        <w:r w:rsidRPr="006F5697">
          <w:rPr>
            <w:rStyle w:val="Hypertextovodkaz"/>
            <w:rFonts w:ascii="Century Gothic" w:hAnsi="Century Gothic" w:cs="Arial"/>
          </w:rPr>
          <w:t>www.crestcom.cz</w:t>
        </w:r>
      </w:hyperlink>
    </w:p>
    <w:sectPr w:rsidR="00D1533A" w:rsidRPr="00096CC2">
      <w:headerReference w:type="default" r:id="rId13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7C0A59" w14:textId="77777777" w:rsidR="00A727A4" w:rsidRDefault="00A727A4">
      <w:pPr>
        <w:spacing w:after="0" w:line="240" w:lineRule="auto"/>
      </w:pPr>
      <w:r>
        <w:separator/>
      </w:r>
    </w:p>
  </w:endnote>
  <w:endnote w:type="continuationSeparator" w:id="0">
    <w:p w14:paraId="5CFB5979" w14:textId="77777777" w:rsidR="00A727A4" w:rsidRDefault="00A727A4">
      <w:pPr>
        <w:spacing w:after="0" w:line="240" w:lineRule="auto"/>
      </w:pPr>
      <w:r>
        <w:continuationSeparator/>
      </w:r>
    </w:p>
  </w:endnote>
  <w:endnote w:type="continuationNotice" w:id="1">
    <w:p w14:paraId="0C797D36" w14:textId="77777777" w:rsidR="00A727A4" w:rsidRDefault="00A727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othamBookCE">
    <w:altName w:val="GothamBookCE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E46AE0" w14:textId="77777777" w:rsidR="00A727A4" w:rsidRDefault="00A727A4">
      <w:pPr>
        <w:spacing w:after="0" w:line="240" w:lineRule="auto"/>
      </w:pPr>
      <w:r>
        <w:separator/>
      </w:r>
    </w:p>
  </w:footnote>
  <w:footnote w:type="continuationSeparator" w:id="0">
    <w:p w14:paraId="29571735" w14:textId="77777777" w:rsidR="00A727A4" w:rsidRDefault="00A727A4">
      <w:pPr>
        <w:spacing w:after="0" w:line="240" w:lineRule="auto"/>
      </w:pPr>
      <w:r>
        <w:continuationSeparator/>
      </w:r>
    </w:p>
  </w:footnote>
  <w:footnote w:type="continuationNotice" w:id="1">
    <w:p w14:paraId="6E92C120" w14:textId="77777777" w:rsidR="00A727A4" w:rsidRDefault="00A727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57FE2" w14:textId="77777777" w:rsidR="0072240D" w:rsidRDefault="000D1562">
    <w:pPr>
      <w:pStyle w:val="Zhlav"/>
      <w:pBdr>
        <w:bottom w:val="single" w:sz="4" w:space="1" w:color="000000"/>
      </w:pBdr>
      <w:rPr>
        <w:rFonts w:ascii="Arial" w:hAnsi="Arial" w:cs="Arial"/>
        <w:sz w:val="28"/>
        <w:szCs w:val="28"/>
        <w:lang w:val="cs-CZ"/>
      </w:rPr>
    </w:pPr>
    <w:r>
      <w:rPr>
        <w:noProof/>
        <w:lang w:val="cs-CZ" w:eastAsia="cs-CZ"/>
      </w:rPr>
      <w:drawing>
        <wp:anchor distT="0" distB="0" distL="114935" distR="114935" simplePos="0" relativeHeight="251657728" behindDoc="0" locked="0" layoutInCell="1" allowOverlap="1" wp14:anchorId="4B208EA6" wp14:editId="3B0D5DEE">
          <wp:simplePos x="0" y="0"/>
          <wp:positionH relativeFrom="column">
            <wp:posOffset>4363720</wp:posOffset>
          </wp:positionH>
          <wp:positionV relativeFrom="paragraph">
            <wp:posOffset>-234950</wp:posOffset>
          </wp:positionV>
          <wp:extent cx="1449705" cy="455295"/>
          <wp:effectExtent l="0" t="0" r="0" b="1905"/>
          <wp:wrapTight wrapText="bothSides">
            <wp:wrapPolygon edited="0">
              <wp:start x="0" y="0"/>
              <wp:lineTo x="0" y="20787"/>
              <wp:lineTo x="21288" y="20787"/>
              <wp:lineTo x="21288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4552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240D">
      <w:rPr>
        <w:rFonts w:ascii="Arial" w:hAnsi="Arial" w:cs="Arial"/>
        <w:sz w:val="28"/>
        <w:szCs w:val="28"/>
        <w:lang w:val="cs-CZ"/>
      </w:rPr>
      <w:t>TISKOVÁ ZPRÁVA</w:t>
    </w:r>
  </w:p>
  <w:p w14:paraId="69680486" w14:textId="77777777" w:rsidR="0072240D" w:rsidRDefault="0072240D">
    <w:pPr>
      <w:pStyle w:val="Zhlav"/>
      <w:pBdr>
        <w:bottom w:val="single" w:sz="4" w:space="1" w:color="000000"/>
      </w:pBdr>
    </w:pPr>
  </w:p>
  <w:p w14:paraId="56827998" w14:textId="77777777" w:rsidR="0072240D" w:rsidRDefault="0072240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006191"/>
    <w:multiLevelType w:val="multilevel"/>
    <w:tmpl w:val="A18A9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CB1E9D"/>
    <w:multiLevelType w:val="hybridMultilevel"/>
    <w:tmpl w:val="3F2AA38E"/>
    <w:lvl w:ilvl="0" w:tplc="D0D62DF2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S Reference Specialty" w:eastAsia="MS Reference Specialty" w:hAnsi="MS Reference Specialty" w:cs="MS Reference Specialty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1F4EDF"/>
    <w:multiLevelType w:val="multilevel"/>
    <w:tmpl w:val="2348F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935"/>
    <w:rsid w:val="00004CAC"/>
    <w:rsid w:val="000142E3"/>
    <w:rsid w:val="00026DC8"/>
    <w:rsid w:val="000271BD"/>
    <w:rsid w:val="000302EA"/>
    <w:rsid w:val="00030BD0"/>
    <w:rsid w:val="00030F27"/>
    <w:rsid w:val="000324EE"/>
    <w:rsid w:val="000357EC"/>
    <w:rsid w:val="000407E4"/>
    <w:rsid w:val="00040F29"/>
    <w:rsid w:val="00042ED9"/>
    <w:rsid w:val="000430E6"/>
    <w:rsid w:val="000434C2"/>
    <w:rsid w:val="00044860"/>
    <w:rsid w:val="0004538A"/>
    <w:rsid w:val="00053D58"/>
    <w:rsid w:val="0005466F"/>
    <w:rsid w:val="00057757"/>
    <w:rsid w:val="00063F26"/>
    <w:rsid w:val="00067A87"/>
    <w:rsid w:val="00067CFE"/>
    <w:rsid w:val="000774C8"/>
    <w:rsid w:val="00080EC3"/>
    <w:rsid w:val="000810D7"/>
    <w:rsid w:val="0008126B"/>
    <w:rsid w:val="00082650"/>
    <w:rsid w:val="000855D5"/>
    <w:rsid w:val="00096751"/>
    <w:rsid w:val="00096CC2"/>
    <w:rsid w:val="0009757B"/>
    <w:rsid w:val="000A0C92"/>
    <w:rsid w:val="000A46C2"/>
    <w:rsid w:val="000B1079"/>
    <w:rsid w:val="000B4742"/>
    <w:rsid w:val="000B5177"/>
    <w:rsid w:val="000B6751"/>
    <w:rsid w:val="000B6798"/>
    <w:rsid w:val="000C205B"/>
    <w:rsid w:val="000C218C"/>
    <w:rsid w:val="000C31D0"/>
    <w:rsid w:val="000D0AC0"/>
    <w:rsid w:val="000D1562"/>
    <w:rsid w:val="000D2164"/>
    <w:rsid w:val="000D2868"/>
    <w:rsid w:val="000D6836"/>
    <w:rsid w:val="000D7B62"/>
    <w:rsid w:val="000E0BB6"/>
    <w:rsid w:val="000F1434"/>
    <w:rsid w:val="000F155D"/>
    <w:rsid w:val="000F1654"/>
    <w:rsid w:val="000F3B57"/>
    <w:rsid w:val="000F3F34"/>
    <w:rsid w:val="00100FBD"/>
    <w:rsid w:val="00101CE9"/>
    <w:rsid w:val="00103BB2"/>
    <w:rsid w:val="0010601A"/>
    <w:rsid w:val="00107F36"/>
    <w:rsid w:val="00112D95"/>
    <w:rsid w:val="00113BB5"/>
    <w:rsid w:val="001149E8"/>
    <w:rsid w:val="00117278"/>
    <w:rsid w:val="00120D50"/>
    <w:rsid w:val="00125874"/>
    <w:rsid w:val="00125EE9"/>
    <w:rsid w:val="00132792"/>
    <w:rsid w:val="00133A94"/>
    <w:rsid w:val="00134EA2"/>
    <w:rsid w:val="00135DFC"/>
    <w:rsid w:val="00142FA7"/>
    <w:rsid w:val="0014617A"/>
    <w:rsid w:val="00150953"/>
    <w:rsid w:val="00151D92"/>
    <w:rsid w:val="00152BDE"/>
    <w:rsid w:val="00157894"/>
    <w:rsid w:val="0016218A"/>
    <w:rsid w:val="00170A7F"/>
    <w:rsid w:val="00171737"/>
    <w:rsid w:val="0017441F"/>
    <w:rsid w:val="001759B4"/>
    <w:rsid w:val="001763A7"/>
    <w:rsid w:val="0018063C"/>
    <w:rsid w:val="00180A4E"/>
    <w:rsid w:val="00181ADC"/>
    <w:rsid w:val="00183A8E"/>
    <w:rsid w:val="001848CC"/>
    <w:rsid w:val="0018606A"/>
    <w:rsid w:val="00186D63"/>
    <w:rsid w:val="00191B4A"/>
    <w:rsid w:val="00195132"/>
    <w:rsid w:val="0019762C"/>
    <w:rsid w:val="001A51A5"/>
    <w:rsid w:val="001A6731"/>
    <w:rsid w:val="001A7321"/>
    <w:rsid w:val="001B07F6"/>
    <w:rsid w:val="001B5810"/>
    <w:rsid w:val="001C23B8"/>
    <w:rsid w:val="001C76B6"/>
    <w:rsid w:val="001D6367"/>
    <w:rsid w:val="001E00C5"/>
    <w:rsid w:val="001E36A3"/>
    <w:rsid w:val="001E5382"/>
    <w:rsid w:val="001F51F2"/>
    <w:rsid w:val="001F5DAB"/>
    <w:rsid w:val="00200018"/>
    <w:rsid w:val="002006D7"/>
    <w:rsid w:val="00201763"/>
    <w:rsid w:val="002029C0"/>
    <w:rsid w:val="00204560"/>
    <w:rsid w:val="00207C59"/>
    <w:rsid w:val="00211242"/>
    <w:rsid w:val="00211CED"/>
    <w:rsid w:val="00211DAE"/>
    <w:rsid w:val="002173AB"/>
    <w:rsid w:val="00217EF6"/>
    <w:rsid w:val="00221210"/>
    <w:rsid w:val="002237E3"/>
    <w:rsid w:val="002260CB"/>
    <w:rsid w:val="00233FBB"/>
    <w:rsid w:val="0023408C"/>
    <w:rsid w:val="00244C38"/>
    <w:rsid w:val="00252EB3"/>
    <w:rsid w:val="00253149"/>
    <w:rsid w:val="002574CE"/>
    <w:rsid w:val="00257678"/>
    <w:rsid w:val="00257DF5"/>
    <w:rsid w:val="00263C82"/>
    <w:rsid w:val="00263EC5"/>
    <w:rsid w:val="0026493A"/>
    <w:rsid w:val="00266AFB"/>
    <w:rsid w:val="00280E1F"/>
    <w:rsid w:val="0028379B"/>
    <w:rsid w:val="0028379D"/>
    <w:rsid w:val="002838F4"/>
    <w:rsid w:val="00290805"/>
    <w:rsid w:val="0029252C"/>
    <w:rsid w:val="002930BD"/>
    <w:rsid w:val="00296BDE"/>
    <w:rsid w:val="0029736F"/>
    <w:rsid w:val="002A58E9"/>
    <w:rsid w:val="002A7387"/>
    <w:rsid w:val="002A7603"/>
    <w:rsid w:val="002B13C8"/>
    <w:rsid w:val="002B2C0D"/>
    <w:rsid w:val="002B40A5"/>
    <w:rsid w:val="002B4553"/>
    <w:rsid w:val="002B4A0F"/>
    <w:rsid w:val="002B4E8F"/>
    <w:rsid w:val="002B58D6"/>
    <w:rsid w:val="002B5B53"/>
    <w:rsid w:val="002B6A3A"/>
    <w:rsid w:val="002C1976"/>
    <w:rsid w:val="002C2FE4"/>
    <w:rsid w:val="002C4074"/>
    <w:rsid w:val="002C4DBA"/>
    <w:rsid w:val="002C5680"/>
    <w:rsid w:val="002C77DB"/>
    <w:rsid w:val="002C7DFD"/>
    <w:rsid w:val="002D1E82"/>
    <w:rsid w:val="002D23E7"/>
    <w:rsid w:val="002D2A24"/>
    <w:rsid w:val="002D47AD"/>
    <w:rsid w:val="002D710C"/>
    <w:rsid w:val="002E2E0D"/>
    <w:rsid w:val="002F240C"/>
    <w:rsid w:val="002F4DFF"/>
    <w:rsid w:val="00301127"/>
    <w:rsid w:val="00301B0A"/>
    <w:rsid w:val="003035D5"/>
    <w:rsid w:val="00303EEA"/>
    <w:rsid w:val="0031443E"/>
    <w:rsid w:val="00316A69"/>
    <w:rsid w:val="0032076D"/>
    <w:rsid w:val="00321813"/>
    <w:rsid w:val="00323642"/>
    <w:rsid w:val="00323B60"/>
    <w:rsid w:val="00333627"/>
    <w:rsid w:val="00334899"/>
    <w:rsid w:val="00337A0F"/>
    <w:rsid w:val="00341990"/>
    <w:rsid w:val="003434C1"/>
    <w:rsid w:val="0034492B"/>
    <w:rsid w:val="00344C25"/>
    <w:rsid w:val="00345772"/>
    <w:rsid w:val="0036141F"/>
    <w:rsid w:val="00362837"/>
    <w:rsid w:val="0036427A"/>
    <w:rsid w:val="00364EDE"/>
    <w:rsid w:val="0036566C"/>
    <w:rsid w:val="00365674"/>
    <w:rsid w:val="00366E42"/>
    <w:rsid w:val="00367BE9"/>
    <w:rsid w:val="00372C54"/>
    <w:rsid w:val="00374379"/>
    <w:rsid w:val="003808B9"/>
    <w:rsid w:val="00382CE7"/>
    <w:rsid w:val="00387DAF"/>
    <w:rsid w:val="003A340A"/>
    <w:rsid w:val="003A350A"/>
    <w:rsid w:val="003A4D5A"/>
    <w:rsid w:val="003A7E20"/>
    <w:rsid w:val="003B196E"/>
    <w:rsid w:val="003B1ED6"/>
    <w:rsid w:val="003B2EFB"/>
    <w:rsid w:val="003B4258"/>
    <w:rsid w:val="003B6A2D"/>
    <w:rsid w:val="003B6DB2"/>
    <w:rsid w:val="003C123B"/>
    <w:rsid w:val="003C5852"/>
    <w:rsid w:val="003C6919"/>
    <w:rsid w:val="003D2186"/>
    <w:rsid w:val="003D3099"/>
    <w:rsid w:val="003D7A2A"/>
    <w:rsid w:val="003E001E"/>
    <w:rsid w:val="003E1B03"/>
    <w:rsid w:val="003E4269"/>
    <w:rsid w:val="003E7221"/>
    <w:rsid w:val="003E76CC"/>
    <w:rsid w:val="003E7C7C"/>
    <w:rsid w:val="003F472C"/>
    <w:rsid w:val="003F54ED"/>
    <w:rsid w:val="00400F17"/>
    <w:rsid w:val="004025D3"/>
    <w:rsid w:val="00406C24"/>
    <w:rsid w:val="00414221"/>
    <w:rsid w:val="004238EE"/>
    <w:rsid w:val="00424FAD"/>
    <w:rsid w:val="00432930"/>
    <w:rsid w:val="00435353"/>
    <w:rsid w:val="004363E8"/>
    <w:rsid w:val="004408AD"/>
    <w:rsid w:val="00442FA5"/>
    <w:rsid w:val="0044451A"/>
    <w:rsid w:val="004551A5"/>
    <w:rsid w:val="0045543E"/>
    <w:rsid w:val="00456C47"/>
    <w:rsid w:val="00464F0B"/>
    <w:rsid w:val="00465766"/>
    <w:rsid w:val="00466756"/>
    <w:rsid w:val="004669CC"/>
    <w:rsid w:val="00467129"/>
    <w:rsid w:val="0047230D"/>
    <w:rsid w:val="0047282A"/>
    <w:rsid w:val="00474DDC"/>
    <w:rsid w:val="00477B0D"/>
    <w:rsid w:val="00480165"/>
    <w:rsid w:val="00480E94"/>
    <w:rsid w:val="00482058"/>
    <w:rsid w:val="00490D9E"/>
    <w:rsid w:val="00491DB0"/>
    <w:rsid w:val="004A0A56"/>
    <w:rsid w:val="004A34C1"/>
    <w:rsid w:val="004A6737"/>
    <w:rsid w:val="004A6C00"/>
    <w:rsid w:val="004B25C7"/>
    <w:rsid w:val="004B5A8A"/>
    <w:rsid w:val="004C1F58"/>
    <w:rsid w:val="004C220D"/>
    <w:rsid w:val="004C439D"/>
    <w:rsid w:val="004C4780"/>
    <w:rsid w:val="004C47BB"/>
    <w:rsid w:val="004C51ED"/>
    <w:rsid w:val="004C7E04"/>
    <w:rsid w:val="004D37A5"/>
    <w:rsid w:val="004D6C09"/>
    <w:rsid w:val="004E174C"/>
    <w:rsid w:val="004E3080"/>
    <w:rsid w:val="004E407B"/>
    <w:rsid w:val="004E42A0"/>
    <w:rsid w:val="004E7664"/>
    <w:rsid w:val="004F18C8"/>
    <w:rsid w:val="004F1E88"/>
    <w:rsid w:val="004F203E"/>
    <w:rsid w:val="00500224"/>
    <w:rsid w:val="0050025A"/>
    <w:rsid w:val="0050253E"/>
    <w:rsid w:val="00504B7A"/>
    <w:rsid w:val="00504CE5"/>
    <w:rsid w:val="00506F39"/>
    <w:rsid w:val="005215E9"/>
    <w:rsid w:val="00521A3A"/>
    <w:rsid w:val="00525DEC"/>
    <w:rsid w:val="00525EDE"/>
    <w:rsid w:val="0052678D"/>
    <w:rsid w:val="00527B89"/>
    <w:rsid w:val="00527DFE"/>
    <w:rsid w:val="00531F01"/>
    <w:rsid w:val="00531F0A"/>
    <w:rsid w:val="00534DC1"/>
    <w:rsid w:val="00543FBF"/>
    <w:rsid w:val="00554D43"/>
    <w:rsid w:val="00557187"/>
    <w:rsid w:val="00575DCA"/>
    <w:rsid w:val="005774FC"/>
    <w:rsid w:val="005804E4"/>
    <w:rsid w:val="00581ACC"/>
    <w:rsid w:val="00584FB9"/>
    <w:rsid w:val="00587547"/>
    <w:rsid w:val="005915F8"/>
    <w:rsid w:val="00595989"/>
    <w:rsid w:val="005A003F"/>
    <w:rsid w:val="005B450C"/>
    <w:rsid w:val="005B4AC4"/>
    <w:rsid w:val="005B5929"/>
    <w:rsid w:val="005B5C31"/>
    <w:rsid w:val="005B6F80"/>
    <w:rsid w:val="005C1675"/>
    <w:rsid w:val="005C31CC"/>
    <w:rsid w:val="005D013C"/>
    <w:rsid w:val="005D13BA"/>
    <w:rsid w:val="005D1C26"/>
    <w:rsid w:val="005D3D19"/>
    <w:rsid w:val="005D3FE5"/>
    <w:rsid w:val="005D6C2C"/>
    <w:rsid w:val="005E7859"/>
    <w:rsid w:val="005F152F"/>
    <w:rsid w:val="005F6977"/>
    <w:rsid w:val="0060128C"/>
    <w:rsid w:val="00601C1E"/>
    <w:rsid w:val="00604798"/>
    <w:rsid w:val="00604DDE"/>
    <w:rsid w:val="00617AF2"/>
    <w:rsid w:val="00617B96"/>
    <w:rsid w:val="00617E5B"/>
    <w:rsid w:val="00620BA7"/>
    <w:rsid w:val="00621F0F"/>
    <w:rsid w:val="006222B2"/>
    <w:rsid w:val="006248A8"/>
    <w:rsid w:val="00625F8E"/>
    <w:rsid w:val="00627D3B"/>
    <w:rsid w:val="00634667"/>
    <w:rsid w:val="00634BF8"/>
    <w:rsid w:val="00643192"/>
    <w:rsid w:val="006438F1"/>
    <w:rsid w:val="00644819"/>
    <w:rsid w:val="00645782"/>
    <w:rsid w:val="00652BD5"/>
    <w:rsid w:val="00654153"/>
    <w:rsid w:val="006579A8"/>
    <w:rsid w:val="00660246"/>
    <w:rsid w:val="00660F4E"/>
    <w:rsid w:val="0066666C"/>
    <w:rsid w:val="00667896"/>
    <w:rsid w:val="00672200"/>
    <w:rsid w:val="00677645"/>
    <w:rsid w:val="00677FB7"/>
    <w:rsid w:val="0068103E"/>
    <w:rsid w:val="00682826"/>
    <w:rsid w:val="00683935"/>
    <w:rsid w:val="00687E88"/>
    <w:rsid w:val="006937AF"/>
    <w:rsid w:val="00697A60"/>
    <w:rsid w:val="006A1226"/>
    <w:rsid w:val="006A3245"/>
    <w:rsid w:val="006A371B"/>
    <w:rsid w:val="006A4679"/>
    <w:rsid w:val="006B0537"/>
    <w:rsid w:val="006B466F"/>
    <w:rsid w:val="006B57F2"/>
    <w:rsid w:val="006B5B2C"/>
    <w:rsid w:val="006B6095"/>
    <w:rsid w:val="006B716F"/>
    <w:rsid w:val="006B72C4"/>
    <w:rsid w:val="006B7720"/>
    <w:rsid w:val="006C36F7"/>
    <w:rsid w:val="006C397A"/>
    <w:rsid w:val="006C582C"/>
    <w:rsid w:val="006C715F"/>
    <w:rsid w:val="006C79D3"/>
    <w:rsid w:val="006D76B3"/>
    <w:rsid w:val="006E1402"/>
    <w:rsid w:val="006E4F82"/>
    <w:rsid w:val="006E541C"/>
    <w:rsid w:val="006F2DC1"/>
    <w:rsid w:val="006F5697"/>
    <w:rsid w:val="007007AA"/>
    <w:rsid w:val="00707B9E"/>
    <w:rsid w:val="00715F18"/>
    <w:rsid w:val="00715F5F"/>
    <w:rsid w:val="007163F6"/>
    <w:rsid w:val="0072240D"/>
    <w:rsid w:val="00730470"/>
    <w:rsid w:val="007329CE"/>
    <w:rsid w:val="00735098"/>
    <w:rsid w:val="007370A8"/>
    <w:rsid w:val="00740A21"/>
    <w:rsid w:val="007434E2"/>
    <w:rsid w:val="00746329"/>
    <w:rsid w:val="00747BD5"/>
    <w:rsid w:val="00747C8F"/>
    <w:rsid w:val="0075038B"/>
    <w:rsid w:val="007570BB"/>
    <w:rsid w:val="00762A69"/>
    <w:rsid w:val="00762DF3"/>
    <w:rsid w:val="007639A1"/>
    <w:rsid w:val="00772252"/>
    <w:rsid w:val="00780C1F"/>
    <w:rsid w:val="00782F51"/>
    <w:rsid w:val="00785441"/>
    <w:rsid w:val="007862EA"/>
    <w:rsid w:val="00797EA3"/>
    <w:rsid w:val="007A048A"/>
    <w:rsid w:val="007A41B8"/>
    <w:rsid w:val="007A6B17"/>
    <w:rsid w:val="007B31FC"/>
    <w:rsid w:val="007B68F6"/>
    <w:rsid w:val="007C2BD5"/>
    <w:rsid w:val="007C4855"/>
    <w:rsid w:val="007D3208"/>
    <w:rsid w:val="007E1AA3"/>
    <w:rsid w:val="007E298A"/>
    <w:rsid w:val="007E3C94"/>
    <w:rsid w:val="007E4EB8"/>
    <w:rsid w:val="007E5D54"/>
    <w:rsid w:val="007F3230"/>
    <w:rsid w:val="008066B5"/>
    <w:rsid w:val="0081203A"/>
    <w:rsid w:val="008137EC"/>
    <w:rsid w:val="00816FC6"/>
    <w:rsid w:val="00817B0C"/>
    <w:rsid w:val="00820A4E"/>
    <w:rsid w:val="00821038"/>
    <w:rsid w:val="00823E04"/>
    <w:rsid w:val="00826817"/>
    <w:rsid w:val="00826E77"/>
    <w:rsid w:val="00830686"/>
    <w:rsid w:val="00831265"/>
    <w:rsid w:val="00832016"/>
    <w:rsid w:val="00833FC0"/>
    <w:rsid w:val="00851A05"/>
    <w:rsid w:val="008530A3"/>
    <w:rsid w:val="00854A1F"/>
    <w:rsid w:val="00855D8A"/>
    <w:rsid w:val="00862D34"/>
    <w:rsid w:val="008640F2"/>
    <w:rsid w:val="00866D1C"/>
    <w:rsid w:val="008705B4"/>
    <w:rsid w:val="008709E3"/>
    <w:rsid w:val="0087148E"/>
    <w:rsid w:val="008721BC"/>
    <w:rsid w:val="00872BC9"/>
    <w:rsid w:val="00876782"/>
    <w:rsid w:val="0089047F"/>
    <w:rsid w:val="00894154"/>
    <w:rsid w:val="008A1BDF"/>
    <w:rsid w:val="008A39EC"/>
    <w:rsid w:val="008A3DF5"/>
    <w:rsid w:val="008A5622"/>
    <w:rsid w:val="008A6A83"/>
    <w:rsid w:val="008A75EE"/>
    <w:rsid w:val="008B1019"/>
    <w:rsid w:val="008B46B9"/>
    <w:rsid w:val="008C1CE7"/>
    <w:rsid w:val="008C5C15"/>
    <w:rsid w:val="008D0E0C"/>
    <w:rsid w:val="008D0FB1"/>
    <w:rsid w:val="008D6373"/>
    <w:rsid w:val="008D6F8A"/>
    <w:rsid w:val="008D7095"/>
    <w:rsid w:val="008D7E47"/>
    <w:rsid w:val="008E4E0B"/>
    <w:rsid w:val="008F07DF"/>
    <w:rsid w:val="008F340C"/>
    <w:rsid w:val="008F3747"/>
    <w:rsid w:val="0090048B"/>
    <w:rsid w:val="00903003"/>
    <w:rsid w:val="00910EEE"/>
    <w:rsid w:val="009123BD"/>
    <w:rsid w:val="0091541E"/>
    <w:rsid w:val="00921C4A"/>
    <w:rsid w:val="0092431F"/>
    <w:rsid w:val="00930840"/>
    <w:rsid w:val="00931DE5"/>
    <w:rsid w:val="00932B35"/>
    <w:rsid w:val="009343C5"/>
    <w:rsid w:val="00935AC4"/>
    <w:rsid w:val="0093642D"/>
    <w:rsid w:val="0094068B"/>
    <w:rsid w:val="00942DD7"/>
    <w:rsid w:val="00943409"/>
    <w:rsid w:val="00946339"/>
    <w:rsid w:val="0094786A"/>
    <w:rsid w:val="00950CB8"/>
    <w:rsid w:val="00952608"/>
    <w:rsid w:val="00952F70"/>
    <w:rsid w:val="00953283"/>
    <w:rsid w:val="00955529"/>
    <w:rsid w:val="009573D4"/>
    <w:rsid w:val="0097035D"/>
    <w:rsid w:val="00970691"/>
    <w:rsid w:val="00970FE4"/>
    <w:rsid w:val="00972D8C"/>
    <w:rsid w:val="00974078"/>
    <w:rsid w:val="00974245"/>
    <w:rsid w:val="00974385"/>
    <w:rsid w:val="00982C34"/>
    <w:rsid w:val="00984685"/>
    <w:rsid w:val="00985941"/>
    <w:rsid w:val="0098634C"/>
    <w:rsid w:val="00992C75"/>
    <w:rsid w:val="00996EF1"/>
    <w:rsid w:val="009A0B5C"/>
    <w:rsid w:val="009A25BF"/>
    <w:rsid w:val="009A3296"/>
    <w:rsid w:val="009A5069"/>
    <w:rsid w:val="009A6DF9"/>
    <w:rsid w:val="009B2F05"/>
    <w:rsid w:val="009B3D7E"/>
    <w:rsid w:val="009B712A"/>
    <w:rsid w:val="009C2132"/>
    <w:rsid w:val="009C35F3"/>
    <w:rsid w:val="009C47AA"/>
    <w:rsid w:val="009C4DB7"/>
    <w:rsid w:val="009C5E2D"/>
    <w:rsid w:val="009C6C36"/>
    <w:rsid w:val="009D066A"/>
    <w:rsid w:val="009E45BF"/>
    <w:rsid w:val="009F0F61"/>
    <w:rsid w:val="009F33A2"/>
    <w:rsid w:val="009F4813"/>
    <w:rsid w:val="009F7561"/>
    <w:rsid w:val="009F7CBC"/>
    <w:rsid w:val="00A02169"/>
    <w:rsid w:val="00A025C8"/>
    <w:rsid w:val="00A03DAD"/>
    <w:rsid w:val="00A06BF5"/>
    <w:rsid w:val="00A1031E"/>
    <w:rsid w:val="00A16BA0"/>
    <w:rsid w:val="00A16D38"/>
    <w:rsid w:val="00A171F9"/>
    <w:rsid w:val="00A20632"/>
    <w:rsid w:val="00A209EC"/>
    <w:rsid w:val="00A232C7"/>
    <w:rsid w:val="00A276E1"/>
    <w:rsid w:val="00A31B81"/>
    <w:rsid w:val="00A34021"/>
    <w:rsid w:val="00A37760"/>
    <w:rsid w:val="00A4152D"/>
    <w:rsid w:val="00A52FAA"/>
    <w:rsid w:val="00A54F3C"/>
    <w:rsid w:val="00A647C3"/>
    <w:rsid w:val="00A701FC"/>
    <w:rsid w:val="00A718E6"/>
    <w:rsid w:val="00A727A4"/>
    <w:rsid w:val="00A84C6C"/>
    <w:rsid w:val="00A87D0B"/>
    <w:rsid w:val="00A90C4B"/>
    <w:rsid w:val="00A92052"/>
    <w:rsid w:val="00A9313E"/>
    <w:rsid w:val="00A948F4"/>
    <w:rsid w:val="00A94FB5"/>
    <w:rsid w:val="00AA1FDB"/>
    <w:rsid w:val="00AA347F"/>
    <w:rsid w:val="00AB4315"/>
    <w:rsid w:val="00AC32E6"/>
    <w:rsid w:val="00AC4256"/>
    <w:rsid w:val="00AC4340"/>
    <w:rsid w:val="00AC46BC"/>
    <w:rsid w:val="00AC5AB5"/>
    <w:rsid w:val="00AC5CBF"/>
    <w:rsid w:val="00AC5CF3"/>
    <w:rsid w:val="00AD2BAF"/>
    <w:rsid w:val="00AD3402"/>
    <w:rsid w:val="00AD35A6"/>
    <w:rsid w:val="00AD4370"/>
    <w:rsid w:val="00AD612E"/>
    <w:rsid w:val="00AD7316"/>
    <w:rsid w:val="00AE7214"/>
    <w:rsid w:val="00AF236A"/>
    <w:rsid w:val="00AF25DB"/>
    <w:rsid w:val="00AF3BE0"/>
    <w:rsid w:val="00AF3CDB"/>
    <w:rsid w:val="00AF4075"/>
    <w:rsid w:val="00AF574A"/>
    <w:rsid w:val="00AF71FC"/>
    <w:rsid w:val="00B00661"/>
    <w:rsid w:val="00B0449A"/>
    <w:rsid w:val="00B0773D"/>
    <w:rsid w:val="00B07D8B"/>
    <w:rsid w:val="00B07DA4"/>
    <w:rsid w:val="00B10220"/>
    <w:rsid w:val="00B23FE3"/>
    <w:rsid w:val="00B2742B"/>
    <w:rsid w:val="00B30E7D"/>
    <w:rsid w:val="00B3175F"/>
    <w:rsid w:val="00B36355"/>
    <w:rsid w:val="00B367EA"/>
    <w:rsid w:val="00B40C07"/>
    <w:rsid w:val="00B410B3"/>
    <w:rsid w:val="00B463CD"/>
    <w:rsid w:val="00B4719E"/>
    <w:rsid w:val="00B500A7"/>
    <w:rsid w:val="00B619C9"/>
    <w:rsid w:val="00B61C9C"/>
    <w:rsid w:val="00B6238E"/>
    <w:rsid w:val="00B637C0"/>
    <w:rsid w:val="00B66DF8"/>
    <w:rsid w:val="00B722B8"/>
    <w:rsid w:val="00B72E08"/>
    <w:rsid w:val="00B80A0D"/>
    <w:rsid w:val="00B826C4"/>
    <w:rsid w:val="00B83AB8"/>
    <w:rsid w:val="00B83E92"/>
    <w:rsid w:val="00B84336"/>
    <w:rsid w:val="00B92B18"/>
    <w:rsid w:val="00BA3BD1"/>
    <w:rsid w:val="00BA63E2"/>
    <w:rsid w:val="00BB0B79"/>
    <w:rsid w:val="00BB2C18"/>
    <w:rsid w:val="00BB3390"/>
    <w:rsid w:val="00BB7435"/>
    <w:rsid w:val="00BB7D80"/>
    <w:rsid w:val="00BC1BD4"/>
    <w:rsid w:val="00BC3309"/>
    <w:rsid w:val="00BC37EC"/>
    <w:rsid w:val="00BC56DB"/>
    <w:rsid w:val="00BD0E1A"/>
    <w:rsid w:val="00BD29BF"/>
    <w:rsid w:val="00BD5E41"/>
    <w:rsid w:val="00BE53B7"/>
    <w:rsid w:val="00BE57DC"/>
    <w:rsid w:val="00C12029"/>
    <w:rsid w:val="00C156E2"/>
    <w:rsid w:val="00C16A6B"/>
    <w:rsid w:val="00C17284"/>
    <w:rsid w:val="00C21E39"/>
    <w:rsid w:val="00C2290A"/>
    <w:rsid w:val="00C31A09"/>
    <w:rsid w:val="00C32063"/>
    <w:rsid w:val="00C3221B"/>
    <w:rsid w:val="00C3328C"/>
    <w:rsid w:val="00C34845"/>
    <w:rsid w:val="00C34FCF"/>
    <w:rsid w:val="00C4046A"/>
    <w:rsid w:val="00C425CA"/>
    <w:rsid w:val="00C442C2"/>
    <w:rsid w:val="00C5336B"/>
    <w:rsid w:val="00C5413F"/>
    <w:rsid w:val="00C620C1"/>
    <w:rsid w:val="00C62E61"/>
    <w:rsid w:val="00C6746C"/>
    <w:rsid w:val="00C676A1"/>
    <w:rsid w:val="00C67732"/>
    <w:rsid w:val="00C7104A"/>
    <w:rsid w:val="00C7271D"/>
    <w:rsid w:val="00C737EB"/>
    <w:rsid w:val="00C74E45"/>
    <w:rsid w:val="00C81BA7"/>
    <w:rsid w:val="00C86301"/>
    <w:rsid w:val="00C92748"/>
    <w:rsid w:val="00CA0532"/>
    <w:rsid w:val="00CA53D9"/>
    <w:rsid w:val="00CA5940"/>
    <w:rsid w:val="00CA71F4"/>
    <w:rsid w:val="00CB28E7"/>
    <w:rsid w:val="00CB2D70"/>
    <w:rsid w:val="00CC29E9"/>
    <w:rsid w:val="00CC37CF"/>
    <w:rsid w:val="00CD1020"/>
    <w:rsid w:val="00CD6F97"/>
    <w:rsid w:val="00CE45D6"/>
    <w:rsid w:val="00CE525D"/>
    <w:rsid w:val="00CF1601"/>
    <w:rsid w:val="00CF704A"/>
    <w:rsid w:val="00CF76A1"/>
    <w:rsid w:val="00CF7EDC"/>
    <w:rsid w:val="00D053E4"/>
    <w:rsid w:val="00D10BD6"/>
    <w:rsid w:val="00D136C1"/>
    <w:rsid w:val="00D137A2"/>
    <w:rsid w:val="00D13C5C"/>
    <w:rsid w:val="00D1533A"/>
    <w:rsid w:val="00D17137"/>
    <w:rsid w:val="00D17C75"/>
    <w:rsid w:val="00D23E50"/>
    <w:rsid w:val="00D24FA6"/>
    <w:rsid w:val="00D26416"/>
    <w:rsid w:val="00D27BB0"/>
    <w:rsid w:val="00D3327C"/>
    <w:rsid w:val="00D36328"/>
    <w:rsid w:val="00D4169F"/>
    <w:rsid w:val="00D43162"/>
    <w:rsid w:val="00D43447"/>
    <w:rsid w:val="00D5048D"/>
    <w:rsid w:val="00D542AB"/>
    <w:rsid w:val="00D56001"/>
    <w:rsid w:val="00D57E82"/>
    <w:rsid w:val="00D637E8"/>
    <w:rsid w:val="00D65854"/>
    <w:rsid w:val="00D67733"/>
    <w:rsid w:val="00D7019B"/>
    <w:rsid w:val="00D7134F"/>
    <w:rsid w:val="00D731C5"/>
    <w:rsid w:val="00D73558"/>
    <w:rsid w:val="00D74673"/>
    <w:rsid w:val="00D83AA9"/>
    <w:rsid w:val="00D962D3"/>
    <w:rsid w:val="00D968C5"/>
    <w:rsid w:val="00D96D85"/>
    <w:rsid w:val="00DA2012"/>
    <w:rsid w:val="00DA3731"/>
    <w:rsid w:val="00DA7A8F"/>
    <w:rsid w:val="00DB3891"/>
    <w:rsid w:val="00DB4F34"/>
    <w:rsid w:val="00DB5F0B"/>
    <w:rsid w:val="00DB7D27"/>
    <w:rsid w:val="00DC7A44"/>
    <w:rsid w:val="00DD0DC9"/>
    <w:rsid w:val="00DD1733"/>
    <w:rsid w:val="00DD4683"/>
    <w:rsid w:val="00DE0893"/>
    <w:rsid w:val="00DE20BF"/>
    <w:rsid w:val="00DE5F51"/>
    <w:rsid w:val="00DE6C38"/>
    <w:rsid w:val="00DE7473"/>
    <w:rsid w:val="00DF1061"/>
    <w:rsid w:val="00DF28E7"/>
    <w:rsid w:val="00E0018A"/>
    <w:rsid w:val="00E02209"/>
    <w:rsid w:val="00E036F3"/>
    <w:rsid w:val="00E04312"/>
    <w:rsid w:val="00E11464"/>
    <w:rsid w:val="00E14D1B"/>
    <w:rsid w:val="00E15EE1"/>
    <w:rsid w:val="00E16480"/>
    <w:rsid w:val="00E204CC"/>
    <w:rsid w:val="00E20738"/>
    <w:rsid w:val="00E20911"/>
    <w:rsid w:val="00E21884"/>
    <w:rsid w:val="00E23527"/>
    <w:rsid w:val="00E23C66"/>
    <w:rsid w:val="00E27889"/>
    <w:rsid w:val="00E3055C"/>
    <w:rsid w:val="00E30A58"/>
    <w:rsid w:val="00E31D94"/>
    <w:rsid w:val="00E3636B"/>
    <w:rsid w:val="00E37BF2"/>
    <w:rsid w:val="00E40A59"/>
    <w:rsid w:val="00E42170"/>
    <w:rsid w:val="00E43D7A"/>
    <w:rsid w:val="00E50FB2"/>
    <w:rsid w:val="00E5138E"/>
    <w:rsid w:val="00E5357A"/>
    <w:rsid w:val="00E60225"/>
    <w:rsid w:val="00E609DB"/>
    <w:rsid w:val="00E634D7"/>
    <w:rsid w:val="00E63921"/>
    <w:rsid w:val="00E65E85"/>
    <w:rsid w:val="00E67081"/>
    <w:rsid w:val="00E7139B"/>
    <w:rsid w:val="00E72C22"/>
    <w:rsid w:val="00E73F6D"/>
    <w:rsid w:val="00E75758"/>
    <w:rsid w:val="00E801AE"/>
    <w:rsid w:val="00E8498C"/>
    <w:rsid w:val="00E85F1F"/>
    <w:rsid w:val="00E922D9"/>
    <w:rsid w:val="00E93525"/>
    <w:rsid w:val="00E93A05"/>
    <w:rsid w:val="00E97FF7"/>
    <w:rsid w:val="00EA2FE3"/>
    <w:rsid w:val="00EA3306"/>
    <w:rsid w:val="00EA3B15"/>
    <w:rsid w:val="00EA62FB"/>
    <w:rsid w:val="00EC0223"/>
    <w:rsid w:val="00EC15B6"/>
    <w:rsid w:val="00EC1BC4"/>
    <w:rsid w:val="00EC31A0"/>
    <w:rsid w:val="00EC6DA8"/>
    <w:rsid w:val="00ED0AE8"/>
    <w:rsid w:val="00ED121B"/>
    <w:rsid w:val="00ED4400"/>
    <w:rsid w:val="00ED44C1"/>
    <w:rsid w:val="00EE0422"/>
    <w:rsid w:val="00EE15FB"/>
    <w:rsid w:val="00EE1E5C"/>
    <w:rsid w:val="00EE33A4"/>
    <w:rsid w:val="00EE389B"/>
    <w:rsid w:val="00EE63EE"/>
    <w:rsid w:val="00EF08AA"/>
    <w:rsid w:val="00EF1175"/>
    <w:rsid w:val="00EF5207"/>
    <w:rsid w:val="00EF7EDA"/>
    <w:rsid w:val="00F013A1"/>
    <w:rsid w:val="00F0350F"/>
    <w:rsid w:val="00F047C9"/>
    <w:rsid w:val="00F05070"/>
    <w:rsid w:val="00F06BA8"/>
    <w:rsid w:val="00F11CE4"/>
    <w:rsid w:val="00F1262A"/>
    <w:rsid w:val="00F1306D"/>
    <w:rsid w:val="00F131C1"/>
    <w:rsid w:val="00F21238"/>
    <w:rsid w:val="00F21704"/>
    <w:rsid w:val="00F23F33"/>
    <w:rsid w:val="00F26B0F"/>
    <w:rsid w:val="00F3536E"/>
    <w:rsid w:val="00F3766C"/>
    <w:rsid w:val="00F41018"/>
    <w:rsid w:val="00F4175D"/>
    <w:rsid w:val="00F41EDA"/>
    <w:rsid w:val="00F42456"/>
    <w:rsid w:val="00F4257E"/>
    <w:rsid w:val="00F43BB0"/>
    <w:rsid w:val="00F443EA"/>
    <w:rsid w:val="00F447B9"/>
    <w:rsid w:val="00F46970"/>
    <w:rsid w:val="00F46C3A"/>
    <w:rsid w:val="00F52FA6"/>
    <w:rsid w:val="00F561C4"/>
    <w:rsid w:val="00F56540"/>
    <w:rsid w:val="00F568E2"/>
    <w:rsid w:val="00F609B8"/>
    <w:rsid w:val="00F60DDB"/>
    <w:rsid w:val="00F61990"/>
    <w:rsid w:val="00F6350B"/>
    <w:rsid w:val="00F7301B"/>
    <w:rsid w:val="00F733D7"/>
    <w:rsid w:val="00F847FB"/>
    <w:rsid w:val="00F84BD3"/>
    <w:rsid w:val="00F90489"/>
    <w:rsid w:val="00F90BF5"/>
    <w:rsid w:val="00F93410"/>
    <w:rsid w:val="00F93EA9"/>
    <w:rsid w:val="00F9661F"/>
    <w:rsid w:val="00FA1869"/>
    <w:rsid w:val="00FA2214"/>
    <w:rsid w:val="00FA45A2"/>
    <w:rsid w:val="00FB0F24"/>
    <w:rsid w:val="00FB528F"/>
    <w:rsid w:val="00FC0FA1"/>
    <w:rsid w:val="00FC10C6"/>
    <w:rsid w:val="00FC3A4E"/>
    <w:rsid w:val="00FC607F"/>
    <w:rsid w:val="00FC7651"/>
    <w:rsid w:val="00FC771C"/>
    <w:rsid w:val="00FD07E2"/>
    <w:rsid w:val="00FD3606"/>
    <w:rsid w:val="00FD68BC"/>
    <w:rsid w:val="00FD6A14"/>
    <w:rsid w:val="00FD6D2B"/>
    <w:rsid w:val="00FD721B"/>
    <w:rsid w:val="00FD765A"/>
    <w:rsid w:val="00FE098C"/>
    <w:rsid w:val="00FE2409"/>
    <w:rsid w:val="00FE5A65"/>
    <w:rsid w:val="00FE6AF0"/>
    <w:rsid w:val="00FF4977"/>
    <w:rsid w:val="00FF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087754B"/>
  <w15:docId w15:val="{C73C9B53-2C16-4A98-B34D-0701F5AEB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AC46BC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33FC0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/>
    </w:rPr>
  </w:style>
  <w:style w:type="character" w:customStyle="1" w:styleId="Standardnpsmoodstavce1">
    <w:name w:val="Standardní písmo odstavce1"/>
  </w:style>
  <w:style w:type="character" w:styleId="Hypertextovodkaz">
    <w:name w:val="Hyperlink"/>
    <w:uiPriority w:val="99"/>
    <w:semiHidden/>
    <w:rPr>
      <w:rFonts w:cs="Times New Roman"/>
      <w:color w:val="0000FF"/>
      <w:u w:val="single"/>
    </w:rPr>
  </w:style>
  <w:style w:type="character" w:customStyle="1" w:styleId="ZhlavChar">
    <w:name w:val="Záhlaví Char"/>
    <w:rPr>
      <w:rFonts w:ascii="Calibri" w:eastAsia="Calibri" w:hAnsi="Calibri" w:cs="Times New Roman"/>
    </w:rPr>
  </w:style>
  <w:style w:type="character" w:customStyle="1" w:styleId="ZpatChar">
    <w:name w:val="Zápatí Char"/>
    <w:rPr>
      <w:rFonts w:ascii="Calibri" w:eastAsia="Calibri" w:hAnsi="Calibri" w:cs="Times New Roman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</w:style>
  <w:style w:type="character" w:customStyle="1" w:styleId="PedmtkomenteChar">
    <w:name w:val="Předmět komentáře Char"/>
    <w:rPr>
      <w:b/>
      <w:bCs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Bezmezer1">
    <w:name w:val="Bez mezer1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Normln1">
    <w:name w:val="Normální1"/>
    <w:pPr>
      <w:suppressAutoHyphens/>
    </w:pPr>
    <w:rPr>
      <w:rFonts w:cs="Calibri"/>
      <w:color w:val="000000"/>
      <w:sz w:val="24"/>
      <w:szCs w:val="22"/>
      <w:lang w:eastAsia="ar-S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paragraph" w:customStyle="1" w:styleId="Bezmezer10">
    <w:name w:val="Bez mezer1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paragraph" w:customStyle="1" w:styleId="Textkomente1">
    <w:name w:val="Text komentáře1"/>
    <w:basedOn w:val="Normln"/>
    <w:rPr>
      <w:sz w:val="20"/>
      <w:szCs w:val="20"/>
      <w:lang w:val="x-none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paragraph" w:styleId="Bezmezer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Odstavecseseznamem">
    <w:name w:val="List Paragraph"/>
    <w:basedOn w:val="Normln"/>
    <w:qFormat/>
    <w:pPr>
      <w:spacing w:after="0" w:line="240" w:lineRule="auto"/>
      <w:ind w:left="720"/>
      <w:jc w:val="both"/>
    </w:pPr>
    <w:rPr>
      <w:rFonts w:cs="Times New Roman"/>
    </w:rPr>
  </w:style>
  <w:style w:type="character" w:styleId="Sledovanodkaz">
    <w:name w:val="FollowedHyperlink"/>
    <w:uiPriority w:val="99"/>
    <w:semiHidden/>
    <w:unhideWhenUsed/>
    <w:rsid w:val="00683935"/>
    <w:rPr>
      <w:color w:val="800080"/>
      <w:u w:val="single"/>
    </w:rPr>
  </w:style>
  <w:style w:type="character" w:styleId="Odkaznakoment">
    <w:name w:val="annotation reference"/>
    <w:uiPriority w:val="99"/>
    <w:semiHidden/>
    <w:unhideWhenUsed/>
    <w:rsid w:val="00AD7316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AD7316"/>
    <w:rPr>
      <w:rFonts w:cs="Times New Roman"/>
      <w:sz w:val="20"/>
      <w:szCs w:val="20"/>
      <w:lang w:val="x-none"/>
    </w:rPr>
  </w:style>
  <w:style w:type="character" w:customStyle="1" w:styleId="TextkomenteChar1">
    <w:name w:val="Text komentáře Char1"/>
    <w:link w:val="Textkomente"/>
    <w:uiPriority w:val="99"/>
    <w:semiHidden/>
    <w:rsid w:val="00AD7316"/>
    <w:rPr>
      <w:rFonts w:ascii="Calibri" w:eastAsia="Calibri" w:hAnsi="Calibri" w:cs="Calibri"/>
      <w:lang w:eastAsia="ar-SA"/>
    </w:rPr>
  </w:style>
  <w:style w:type="character" w:customStyle="1" w:styleId="Nadpis1Char">
    <w:name w:val="Nadpis 1 Char"/>
    <w:link w:val="Nadpis1"/>
    <w:uiPriority w:val="9"/>
    <w:rsid w:val="00AC46BC"/>
    <w:rPr>
      <w:b/>
      <w:bCs/>
      <w:kern w:val="36"/>
      <w:sz w:val="48"/>
      <w:szCs w:val="48"/>
    </w:rPr>
  </w:style>
  <w:style w:type="paragraph" w:styleId="Normlnweb">
    <w:name w:val="Normal (Web)"/>
    <w:basedOn w:val="Normln"/>
    <w:uiPriority w:val="99"/>
    <w:unhideWhenUsed/>
    <w:rsid w:val="00AC46B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rsid w:val="00AC46BC"/>
  </w:style>
  <w:style w:type="paragraph" w:customStyle="1" w:styleId="Default">
    <w:name w:val="Default"/>
    <w:rsid w:val="00432930"/>
    <w:pPr>
      <w:autoSpaceDE w:val="0"/>
      <w:autoSpaceDN w:val="0"/>
      <w:adjustRightInd w:val="0"/>
    </w:pPr>
    <w:rPr>
      <w:rFonts w:ascii="GothamBookCE" w:hAnsi="GothamBookCE" w:cs="GothamBookCE"/>
      <w:color w:val="000000"/>
      <w:sz w:val="24"/>
      <w:szCs w:val="24"/>
    </w:rPr>
  </w:style>
  <w:style w:type="character" w:customStyle="1" w:styleId="A16">
    <w:name w:val="A16"/>
    <w:uiPriority w:val="99"/>
    <w:rsid w:val="00432930"/>
    <w:rPr>
      <w:rFonts w:cs="GothamBookCE"/>
      <w:color w:val="000000"/>
      <w:sz w:val="30"/>
      <w:szCs w:val="30"/>
    </w:rPr>
  </w:style>
  <w:style w:type="paragraph" w:customStyle="1" w:styleId="TextA">
    <w:name w:val="Text A"/>
    <w:rsid w:val="00A103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Nadpis2Char">
    <w:name w:val="Nadpis 2 Char"/>
    <w:link w:val="Nadpis2"/>
    <w:uiPriority w:val="9"/>
    <w:semiHidden/>
    <w:rsid w:val="00833FC0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styleId="Zdraznn">
    <w:name w:val="Emphasis"/>
    <w:uiPriority w:val="20"/>
    <w:qFormat/>
    <w:rsid w:val="00525DEC"/>
    <w:rPr>
      <w:i/>
      <w:iCs/>
    </w:rPr>
  </w:style>
  <w:style w:type="paragraph" w:styleId="Revize">
    <w:name w:val="Revision"/>
    <w:hidden/>
    <w:uiPriority w:val="99"/>
    <w:semiHidden/>
    <w:rsid w:val="00221210"/>
    <w:rPr>
      <w:rFonts w:ascii="Calibri" w:eastAsia="Calibri" w:hAnsi="Calibri" w:cs="Calibri"/>
      <w:sz w:val="22"/>
      <w:szCs w:val="22"/>
      <w:lang w:eastAsia="ar-SA"/>
    </w:rPr>
  </w:style>
  <w:style w:type="paragraph" w:styleId="Textpoznpodarou">
    <w:name w:val="footnote text"/>
    <w:basedOn w:val="Normln"/>
    <w:link w:val="TextpoznpodarouChar"/>
    <w:unhideWhenUsed/>
    <w:rsid w:val="00584FB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84FB9"/>
    <w:rPr>
      <w:rFonts w:ascii="Calibri" w:eastAsia="Calibri" w:hAnsi="Calibri" w:cs="Calibri"/>
      <w:lang w:eastAsia="ar-SA"/>
    </w:rPr>
  </w:style>
  <w:style w:type="character" w:styleId="Znakapoznpodarou">
    <w:name w:val="footnote reference"/>
    <w:basedOn w:val="Standardnpsmoodstavce"/>
    <w:unhideWhenUsed/>
    <w:rsid w:val="00584FB9"/>
    <w:rPr>
      <w:vertAlign w:val="superscript"/>
    </w:rPr>
  </w:style>
  <w:style w:type="paragraph" w:customStyle="1" w:styleId="selectionshareable">
    <w:name w:val="selectionshareable"/>
    <w:basedOn w:val="Normln"/>
    <w:rsid w:val="00A31B8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atetime">
    <w:name w:val="datetime"/>
    <w:basedOn w:val="Standardnpsmoodstavce"/>
    <w:rsid w:val="00A31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9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9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7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88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6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7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9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22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6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8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3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638473">
                  <w:marLeft w:val="0"/>
                  <w:marRight w:val="1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932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9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0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64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1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7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6208">
                  <w:marLeft w:val="0"/>
                  <w:marRight w:val="1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52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94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8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2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@lexxus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restco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ie.cimplova@crestcom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arka.vondrackova@crestcom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xxus.cz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5901A-8AB3-40EA-933B-EA5176471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704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Realitní kancelář LEXXUS v nejúspěšnějším pokrizovém roce prodala byty za 2,5 miliardy korun</vt:lpstr>
    </vt:vector>
  </TitlesOfParts>
  <Company>Hewlett-Packard</Company>
  <LinksUpToDate>false</LinksUpToDate>
  <CharactersWithSpaces>4852</CharactersWithSpaces>
  <SharedDoc>false</SharedDoc>
  <HLinks>
    <vt:vector size="12" baseType="variant">
      <vt:variant>
        <vt:i4>1966173</vt:i4>
      </vt:variant>
      <vt:variant>
        <vt:i4>3</vt:i4>
      </vt:variant>
      <vt:variant>
        <vt:i4>0</vt:i4>
      </vt:variant>
      <vt:variant>
        <vt:i4>5</vt:i4>
      </vt:variant>
      <vt:variant>
        <vt:lpwstr>http://www.lexxus.cz/</vt:lpwstr>
      </vt:variant>
      <vt:variant>
        <vt:lpwstr/>
      </vt:variant>
      <vt:variant>
        <vt:i4>6226039</vt:i4>
      </vt:variant>
      <vt:variant>
        <vt:i4>0</vt:i4>
      </vt:variant>
      <vt:variant>
        <vt:i4>0</vt:i4>
      </vt:variant>
      <vt:variant>
        <vt:i4>5</vt:i4>
      </vt:variant>
      <vt:variant>
        <vt:lpwstr>mailto:pr@lexxus.cz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Realitní kancelář LEXXUS v nejúspěšnějším pokrizovém roce prodala byty za 2,5 miliardy korun</dc:title>
  <dc:creator>Karolína Křenková</dc:creator>
  <cp:lastModifiedBy>Marie Cimplová</cp:lastModifiedBy>
  <cp:revision>4</cp:revision>
  <cp:lastPrinted>2016-07-28T09:11:00Z</cp:lastPrinted>
  <dcterms:created xsi:type="dcterms:W3CDTF">2016-08-10T12:58:00Z</dcterms:created>
  <dcterms:modified xsi:type="dcterms:W3CDTF">2016-08-10T13:05:00Z</dcterms:modified>
</cp:coreProperties>
</file>